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4A40D" w14:textId="33A02313" w:rsidR="00833B72" w:rsidRDefault="00833B72" w:rsidP="00833B72">
      <w:pPr>
        <w:pStyle w:val="CH"/>
      </w:pPr>
      <w:bookmarkStart w:id="0" w:name="historyclause"/>
      <w:r w:rsidRPr="00B070F5">
        <w:t xml:space="preserve">3GPP </w:t>
      </w:r>
      <w:r>
        <w:t>TSG-</w:t>
      </w:r>
      <w:r w:rsidRPr="00B070F5">
        <w:t>RAN</w:t>
      </w:r>
      <w:r>
        <w:t xml:space="preserve">4 </w:t>
      </w:r>
      <w:r w:rsidRPr="00B070F5">
        <w:t>Meeting #</w:t>
      </w:r>
      <w:r>
        <w:t>94-e</w:t>
      </w:r>
      <w:r>
        <w:tab/>
      </w:r>
      <w:r>
        <w:tab/>
      </w:r>
      <w:r w:rsidRPr="00BE2117">
        <w:t>R4-20000</w:t>
      </w:r>
      <w:r>
        <w:t>1</w:t>
      </w:r>
      <w:r w:rsidR="00AF4B6D">
        <w:t>8</w:t>
      </w:r>
    </w:p>
    <w:p w14:paraId="61E68700" w14:textId="77777777" w:rsidR="00833B72" w:rsidRPr="00FD166F" w:rsidRDefault="00833B72" w:rsidP="00833B72">
      <w:pPr>
        <w:pStyle w:val="CH"/>
        <w:tabs>
          <w:tab w:val="clear" w:pos="7920"/>
        </w:tabs>
        <w:rPr>
          <w:b w:val="0"/>
        </w:rPr>
      </w:pPr>
      <w:r>
        <w:t>Online</w:t>
      </w:r>
      <w:r w:rsidRPr="00B070F5">
        <w:t xml:space="preserve">, </w:t>
      </w:r>
      <w:r>
        <w:t>24 February – 6 March,</w:t>
      </w:r>
      <w:r w:rsidRPr="00B070F5">
        <w:t xml:space="preserve"> 20</w:t>
      </w:r>
      <w:r>
        <w:t>20</w:t>
      </w:r>
      <w:r>
        <w:tab/>
      </w:r>
    </w:p>
    <w:p w14:paraId="39A0EE25" w14:textId="77777777" w:rsidR="00D309CC" w:rsidRPr="00B67FC6" w:rsidRDefault="00D309CC" w:rsidP="00D309CC">
      <w:pPr>
        <w:tabs>
          <w:tab w:val="left" w:pos="2160"/>
        </w:tabs>
        <w:rPr>
          <w:rFonts w:ascii="Arial" w:hAnsi="Arial" w:cs="Arial"/>
          <w:b/>
          <w:lang w:val="en-US"/>
        </w:rPr>
      </w:pPr>
    </w:p>
    <w:p w14:paraId="6DDCE159" w14:textId="0F4D0375" w:rsidR="00D309CC" w:rsidRPr="00B67FC6" w:rsidRDefault="00D309CC" w:rsidP="00D309CC">
      <w:pPr>
        <w:pStyle w:val="CH"/>
        <w:rPr>
          <w:b w:val="0"/>
          <w:lang w:val="en-US"/>
        </w:rPr>
      </w:pPr>
      <w:r w:rsidRPr="00B67FC6">
        <w:rPr>
          <w:lang w:val="en-US"/>
        </w:rPr>
        <w:t>Agenda item:</w:t>
      </w:r>
      <w:r w:rsidRPr="00B67FC6">
        <w:rPr>
          <w:lang w:val="en-US"/>
        </w:rPr>
        <w:tab/>
      </w:r>
      <w:r w:rsidR="00AF4B6D" w:rsidRPr="00AF4B6D">
        <w:rPr>
          <w:lang w:val="en-US"/>
        </w:rPr>
        <w:t>8.14.1.7</w:t>
      </w:r>
    </w:p>
    <w:p w14:paraId="4DBE005A" w14:textId="77777777" w:rsidR="00D309CC" w:rsidRPr="00B67FC6" w:rsidRDefault="00D309CC" w:rsidP="00D309CC">
      <w:pPr>
        <w:pStyle w:val="CH"/>
        <w:rPr>
          <w:b w:val="0"/>
          <w:lang w:val="en-US"/>
        </w:rPr>
      </w:pPr>
      <w:r w:rsidRPr="00B67FC6">
        <w:rPr>
          <w:lang w:val="en-US"/>
        </w:rPr>
        <w:t>Source:</w:t>
      </w:r>
      <w:r w:rsidRPr="00B67FC6">
        <w:rPr>
          <w:lang w:val="en-US"/>
        </w:rPr>
        <w:tab/>
        <w:t>Apple Inc.</w:t>
      </w:r>
    </w:p>
    <w:p w14:paraId="0D2061A1" w14:textId="156E887B" w:rsidR="00D309CC" w:rsidRPr="00B67FC6" w:rsidRDefault="00D309CC" w:rsidP="00D309CC">
      <w:pPr>
        <w:pStyle w:val="CH"/>
        <w:rPr>
          <w:lang w:val="en-US"/>
        </w:rPr>
      </w:pPr>
      <w:r w:rsidRPr="00B67FC6">
        <w:rPr>
          <w:lang w:val="en-US"/>
        </w:rPr>
        <w:t>Title:</w:t>
      </w:r>
      <w:r w:rsidRPr="00B67FC6">
        <w:rPr>
          <w:lang w:val="en-US"/>
        </w:rPr>
        <w:tab/>
      </w:r>
      <w:r w:rsidR="00AF4B6D" w:rsidRPr="00AF4B6D">
        <w:rPr>
          <w:lang w:val="en-US"/>
        </w:rPr>
        <w:t>EIS spherical coverage for inter-band CA in FR2</w:t>
      </w:r>
    </w:p>
    <w:p w14:paraId="052B1E0C" w14:textId="3424AC1E" w:rsidR="00104BC6" w:rsidRPr="00B67FC6" w:rsidRDefault="00104BC6" w:rsidP="00D309CC">
      <w:pPr>
        <w:pStyle w:val="CH"/>
        <w:rPr>
          <w:lang w:val="en-US"/>
        </w:rPr>
      </w:pPr>
      <w:r w:rsidRPr="00B67FC6">
        <w:rPr>
          <w:lang w:val="en-US"/>
        </w:rPr>
        <w:t>WI/SI:</w:t>
      </w:r>
      <w:r w:rsidRPr="00B67FC6">
        <w:rPr>
          <w:lang w:val="en-US"/>
        </w:rPr>
        <w:tab/>
      </w:r>
      <w:r w:rsidR="00774153" w:rsidRPr="00B67FC6">
        <w:rPr>
          <w:lang w:val="en-US"/>
        </w:rPr>
        <w:t>NR_RF_FR2_req_enh</w:t>
      </w:r>
    </w:p>
    <w:p w14:paraId="6C6D1281" w14:textId="1478D3ED" w:rsidR="00104BC6" w:rsidRPr="00B67FC6" w:rsidRDefault="00104BC6" w:rsidP="00D309CC">
      <w:pPr>
        <w:pStyle w:val="CH"/>
        <w:rPr>
          <w:b w:val="0"/>
          <w:lang w:val="en-US"/>
        </w:rPr>
      </w:pPr>
      <w:r w:rsidRPr="00B67FC6">
        <w:rPr>
          <w:lang w:val="en-US"/>
        </w:rPr>
        <w:t>Release:</w:t>
      </w:r>
      <w:r w:rsidRPr="00B67FC6">
        <w:rPr>
          <w:lang w:val="en-US"/>
        </w:rPr>
        <w:tab/>
        <w:t>Rel-</w:t>
      </w:r>
      <w:r w:rsidR="00774153" w:rsidRPr="00B67FC6">
        <w:rPr>
          <w:lang w:val="en-US"/>
        </w:rPr>
        <w:t>16</w:t>
      </w:r>
    </w:p>
    <w:p w14:paraId="2E4E044D" w14:textId="57F3B847" w:rsidR="00D309CC" w:rsidRPr="00B67FC6" w:rsidRDefault="00D309CC" w:rsidP="00D309CC">
      <w:pPr>
        <w:pStyle w:val="CH"/>
        <w:rPr>
          <w:lang w:val="en-US"/>
        </w:rPr>
      </w:pPr>
      <w:r w:rsidRPr="00B67FC6">
        <w:rPr>
          <w:lang w:val="en-US"/>
        </w:rPr>
        <w:t>Document for:</w:t>
      </w:r>
      <w:r w:rsidRPr="00B67FC6">
        <w:rPr>
          <w:lang w:val="en-US"/>
        </w:rPr>
        <w:tab/>
      </w:r>
      <w:r w:rsidR="006D0763">
        <w:rPr>
          <w:lang w:val="en-US"/>
        </w:rPr>
        <w:t>Approval</w:t>
      </w:r>
    </w:p>
    <w:p w14:paraId="0207DB43" w14:textId="77777777" w:rsidR="00D46431" w:rsidRPr="00B67FC6" w:rsidRDefault="00D46431" w:rsidP="00D309CC">
      <w:pPr>
        <w:pStyle w:val="CH"/>
        <w:rPr>
          <w:b w:val="0"/>
          <w:lang w:val="en-US"/>
        </w:rPr>
      </w:pPr>
    </w:p>
    <w:p w14:paraId="0273524A" w14:textId="77777777" w:rsidR="008E7986" w:rsidRPr="00B67FC6" w:rsidRDefault="008E7986" w:rsidP="008E7986">
      <w:pPr>
        <w:pStyle w:val="Heading1"/>
        <w:rPr>
          <w:lang w:val="en-US"/>
        </w:rPr>
      </w:pPr>
      <w:r w:rsidRPr="00B67FC6">
        <w:rPr>
          <w:lang w:val="en-US"/>
        </w:rPr>
        <w:t>1</w:t>
      </w:r>
      <w:r w:rsidRPr="00B67FC6">
        <w:rPr>
          <w:lang w:val="en-US"/>
        </w:rPr>
        <w:tab/>
        <w:t xml:space="preserve">Introduction </w:t>
      </w:r>
    </w:p>
    <w:p w14:paraId="2B17715B" w14:textId="6C81F3EB" w:rsidR="00774153" w:rsidRPr="00B67FC6" w:rsidRDefault="00774153" w:rsidP="00774153">
      <w:pPr>
        <w:rPr>
          <w:lang w:val="en-US"/>
        </w:rPr>
      </w:pPr>
      <w:r w:rsidRPr="00B67FC6">
        <w:rPr>
          <w:lang w:val="en-US"/>
        </w:rPr>
        <w:t xml:space="preserve">The scope of the FR2 RF work item includes an objective to define FR2 DL </w:t>
      </w:r>
      <w:r w:rsidR="00AF4B6D">
        <w:rPr>
          <w:lang w:val="en-US"/>
        </w:rPr>
        <w:t>inter-band</w:t>
      </w:r>
      <w:r w:rsidRPr="00B67FC6">
        <w:rPr>
          <w:lang w:val="en-US"/>
        </w:rPr>
        <w:t xml:space="preserve"> carrier aggregation requirements </w:t>
      </w:r>
      <w:r w:rsidRPr="00B67FC6">
        <w:rPr>
          <w:lang w:val="en-US"/>
        </w:rPr>
        <w:fldChar w:fldCharType="begin"/>
      </w:r>
      <w:r w:rsidRPr="00B67FC6">
        <w:rPr>
          <w:lang w:val="en-US"/>
        </w:rPr>
        <w:instrText xml:space="preserve"> REF _Ref16617333 \r \h </w:instrText>
      </w:r>
      <w:r w:rsidRPr="00B67FC6">
        <w:rPr>
          <w:lang w:val="en-US"/>
        </w:rPr>
      </w:r>
      <w:r w:rsidRPr="00B67FC6">
        <w:rPr>
          <w:lang w:val="en-US"/>
        </w:rPr>
        <w:fldChar w:fldCharType="separate"/>
      </w:r>
      <w:r w:rsidR="00AC5544">
        <w:rPr>
          <w:lang w:val="en-US"/>
        </w:rPr>
        <w:t>[1]</w:t>
      </w:r>
      <w:r w:rsidRPr="00B67FC6">
        <w:rPr>
          <w:lang w:val="en-US"/>
        </w:rPr>
        <w:fldChar w:fldCharType="end"/>
      </w:r>
      <w:r w:rsidRPr="00B67FC6">
        <w:rPr>
          <w:lang w:val="en-US"/>
        </w:rPr>
        <w:t xml:space="preserve">.  </w:t>
      </w:r>
      <w:r w:rsidR="00C742F2" w:rsidRPr="00B67FC6">
        <w:rPr>
          <w:lang w:val="en-US"/>
        </w:rPr>
        <w:t xml:space="preserve">The following agreements were made during the RAN4 #92bis meeting </w:t>
      </w:r>
      <w:r w:rsidR="00C742F2" w:rsidRPr="00B67FC6">
        <w:rPr>
          <w:lang w:val="en-US"/>
        </w:rPr>
        <w:fldChar w:fldCharType="begin"/>
      </w:r>
      <w:r w:rsidR="00C742F2" w:rsidRPr="00B67FC6">
        <w:rPr>
          <w:lang w:val="en-US"/>
        </w:rPr>
        <w:instrText xml:space="preserve"> REF _Ref24079157 \r \h </w:instrText>
      </w:r>
      <w:r w:rsidR="00C742F2" w:rsidRPr="00B67FC6">
        <w:rPr>
          <w:lang w:val="en-US"/>
        </w:rPr>
      </w:r>
      <w:r w:rsidR="00C742F2" w:rsidRPr="00B67FC6">
        <w:rPr>
          <w:lang w:val="en-US"/>
        </w:rPr>
        <w:fldChar w:fldCharType="separate"/>
      </w:r>
      <w:r w:rsidR="00AC5544">
        <w:rPr>
          <w:lang w:val="en-US"/>
        </w:rPr>
        <w:t>[2]</w:t>
      </w:r>
      <w:r w:rsidR="00C742F2" w:rsidRPr="00B67FC6">
        <w:rPr>
          <w:lang w:val="en-US"/>
        </w:rPr>
        <w:fldChar w:fldCharType="end"/>
      </w:r>
      <w:r w:rsidR="00C742F2" w:rsidRPr="00B67FC6">
        <w:rPr>
          <w:lang w:val="en-US"/>
        </w:rPr>
        <w:t>:</w:t>
      </w:r>
    </w:p>
    <w:tbl>
      <w:tblPr>
        <w:tblStyle w:val="TableGrid"/>
        <w:tblW w:w="0" w:type="auto"/>
        <w:tblLook w:val="04A0" w:firstRow="1" w:lastRow="0" w:firstColumn="1" w:lastColumn="0" w:noHBand="0" w:noVBand="1"/>
      </w:tblPr>
      <w:tblGrid>
        <w:gridCol w:w="9631"/>
      </w:tblGrid>
      <w:tr w:rsidR="00F01939" w14:paraId="4850661F" w14:textId="77777777" w:rsidTr="00F01939">
        <w:tc>
          <w:tcPr>
            <w:tcW w:w="9631" w:type="dxa"/>
          </w:tcPr>
          <w:p w14:paraId="001B0851" w14:textId="77777777" w:rsidR="00F01939" w:rsidRPr="00654196" w:rsidRDefault="00F01939" w:rsidP="0012301B">
            <w:pPr>
              <w:spacing w:after="0"/>
              <w:rPr>
                <w:sz w:val="16"/>
                <w:szCs w:val="16"/>
              </w:rPr>
            </w:pPr>
            <w:r w:rsidRPr="00654196">
              <w:rPr>
                <w:sz w:val="16"/>
                <w:szCs w:val="16"/>
              </w:rPr>
              <w:t>WF</w:t>
            </w:r>
          </w:p>
          <w:p w14:paraId="2E939686" w14:textId="1D14AAF3" w:rsidR="00654196" w:rsidRPr="00654196" w:rsidRDefault="00654196" w:rsidP="0012301B">
            <w:pPr>
              <w:pStyle w:val="B1"/>
              <w:spacing w:after="0"/>
              <w:rPr>
                <w:sz w:val="16"/>
                <w:szCs w:val="16"/>
                <w:lang w:val="en-US"/>
              </w:rPr>
            </w:pPr>
            <w:r w:rsidRPr="00654196">
              <w:rPr>
                <w:sz w:val="16"/>
                <w:szCs w:val="16"/>
                <w:lang w:val="en-US"/>
              </w:rPr>
              <w:t>-</w:t>
            </w:r>
            <w:r w:rsidRPr="00654196">
              <w:rPr>
                <w:sz w:val="16"/>
                <w:szCs w:val="16"/>
                <w:lang w:val="en-US"/>
              </w:rPr>
              <w:tab/>
              <w:t>The number of bands is assumed to be two for the inter-band CA WI, and the intra-band CA+ inter-band CA is also included in the scope of inter-band CA WI .</w:t>
            </w:r>
          </w:p>
          <w:p w14:paraId="6F02694B" w14:textId="0ED6A8E6" w:rsidR="00654196" w:rsidRPr="00654196" w:rsidRDefault="00654196" w:rsidP="0012301B">
            <w:pPr>
              <w:pStyle w:val="B1"/>
              <w:spacing w:after="0"/>
              <w:rPr>
                <w:sz w:val="16"/>
                <w:szCs w:val="16"/>
                <w:lang w:val="en-US"/>
              </w:rPr>
            </w:pPr>
            <w:r w:rsidRPr="00654196">
              <w:rPr>
                <w:sz w:val="16"/>
                <w:szCs w:val="16"/>
                <w:lang w:val="en-US"/>
              </w:rPr>
              <w:t>-</w:t>
            </w:r>
            <w:r w:rsidRPr="00654196">
              <w:rPr>
                <w:sz w:val="16"/>
                <w:szCs w:val="16"/>
                <w:lang w:val="en-US"/>
              </w:rPr>
              <w:tab/>
              <w:t>UE is assumed to be feasible to have independent beam management for the bands that are part of supported band configuration in inter-band CA for 28 GHz + 39 GHz combinations.</w:t>
            </w:r>
          </w:p>
          <w:p w14:paraId="4A8E618D" w14:textId="763B3385" w:rsidR="00654196" w:rsidRPr="00654196" w:rsidRDefault="00654196" w:rsidP="0012301B">
            <w:pPr>
              <w:pStyle w:val="B2"/>
              <w:spacing w:after="0"/>
              <w:rPr>
                <w:sz w:val="16"/>
                <w:szCs w:val="16"/>
              </w:rPr>
            </w:pPr>
            <w:r w:rsidRPr="00654196">
              <w:rPr>
                <w:sz w:val="16"/>
                <w:szCs w:val="16"/>
              </w:rPr>
              <w:t>-</w:t>
            </w:r>
            <w:r w:rsidRPr="00654196">
              <w:rPr>
                <w:sz w:val="16"/>
                <w:szCs w:val="16"/>
              </w:rPr>
              <w:tab/>
              <w:t xml:space="preserve"> “28GHz” stands for a band group includes n257, n258, n261</w:t>
            </w:r>
          </w:p>
          <w:p w14:paraId="53412913" w14:textId="6F98C08B" w:rsidR="00654196" w:rsidRPr="00654196" w:rsidRDefault="00654196" w:rsidP="0012301B">
            <w:pPr>
              <w:pStyle w:val="B2"/>
              <w:spacing w:after="0"/>
              <w:rPr>
                <w:sz w:val="16"/>
                <w:szCs w:val="16"/>
              </w:rPr>
            </w:pPr>
            <w:r w:rsidRPr="00654196">
              <w:rPr>
                <w:sz w:val="16"/>
                <w:szCs w:val="16"/>
              </w:rPr>
              <w:t>-</w:t>
            </w:r>
            <w:r w:rsidRPr="00654196">
              <w:rPr>
                <w:sz w:val="16"/>
                <w:szCs w:val="16"/>
              </w:rPr>
              <w:tab/>
              <w:t xml:space="preserve"> “39GHz” stands for a band group includes n259, n260</w:t>
            </w:r>
          </w:p>
          <w:p w14:paraId="575AA74D" w14:textId="521F8ABB" w:rsidR="00654196" w:rsidRPr="00654196" w:rsidRDefault="00654196" w:rsidP="0012301B">
            <w:pPr>
              <w:pStyle w:val="B1"/>
              <w:spacing w:after="0"/>
              <w:rPr>
                <w:sz w:val="16"/>
                <w:szCs w:val="16"/>
                <w:lang w:val="en-US"/>
              </w:rPr>
            </w:pPr>
            <w:r w:rsidRPr="00654196">
              <w:rPr>
                <w:sz w:val="16"/>
                <w:szCs w:val="16"/>
                <w:lang w:val="en-US"/>
              </w:rPr>
              <w:t>-</w:t>
            </w:r>
            <w:r w:rsidRPr="00654196">
              <w:rPr>
                <w:sz w:val="16"/>
                <w:szCs w:val="16"/>
                <w:lang w:val="en-US"/>
              </w:rPr>
              <w:tab/>
              <w:t>Spherical coverage requirements for inter-band CA are tested from single AoA for Rel-16 if the following testability solution can be provided.</w:t>
            </w:r>
          </w:p>
          <w:p w14:paraId="327941F6" w14:textId="1F1A1A0D" w:rsidR="00654196" w:rsidRPr="00654196" w:rsidRDefault="00654196" w:rsidP="0012301B">
            <w:pPr>
              <w:pStyle w:val="B2"/>
              <w:spacing w:after="0"/>
              <w:rPr>
                <w:sz w:val="16"/>
                <w:szCs w:val="16"/>
                <w:lang w:val="en-US"/>
              </w:rPr>
            </w:pPr>
            <w:r w:rsidRPr="00654196">
              <w:rPr>
                <w:sz w:val="16"/>
                <w:szCs w:val="16"/>
                <w:lang w:val="en-US"/>
              </w:rPr>
              <w:t>-</w:t>
            </w:r>
            <w:r w:rsidRPr="00654196">
              <w:rPr>
                <w:sz w:val="16"/>
                <w:szCs w:val="16"/>
                <w:lang w:val="en-US"/>
              </w:rPr>
              <w:tab/>
              <w:t>Testability SI will study the TE capability of transmitting 28 GHz + 39 GHz from same direction simultaneously.</w:t>
            </w:r>
          </w:p>
          <w:p w14:paraId="70E45687" w14:textId="476630B3" w:rsidR="00654196" w:rsidRPr="00654196" w:rsidRDefault="00654196" w:rsidP="0012301B">
            <w:pPr>
              <w:pStyle w:val="B1"/>
              <w:spacing w:after="0"/>
              <w:rPr>
                <w:sz w:val="16"/>
                <w:szCs w:val="16"/>
                <w:lang w:val="en-US"/>
              </w:rPr>
            </w:pPr>
            <w:r w:rsidRPr="00654196">
              <w:rPr>
                <w:sz w:val="16"/>
                <w:szCs w:val="16"/>
                <w:lang w:val="en-US"/>
              </w:rPr>
              <w:t>-</w:t>
            </w:r>
            <w:r w:rsidRPr="00654196">
              <w:rPr>
                <w:sz w:val="16"/>
                <w:szCs w:val="16"/>
                <w:lang w:val="en-US"/>
              </w:rPr>
              <w:tab/>
              <w:t>Defining spherical coverage requirement for inter-band CA.</w:t>
            </w:r>
          </w:p>
          <w:p w14:paraId="02D862EC" w14:textId="366723E9" w:rsidR="00654196" w:rsidRPr="00654196" w:rsidRDefault="00654196" w:rsidP="0012301B">
            <w:pPr>
              <w:pStyle w:val="B2"/>
              <w:spacing w:after="0"/>
              <w:rPr>
                <w:sz w:val="16"/>
                <w:szCs w:val="16"/>
                <w:lang w:val="en-US"/>
              </w:rPr>
            </w:pPr>
            <w:r w:rsidRPr="00654196">
              <w:rPr>
                <w:sz w:val="16"/>
                <w:szCs w:val="16"/>
                <w:lang w:val="en-US"/>
              </w:rPr>
              <w:t>-</w:t>
            </w:r>
            <w:r w:rsidRPr="00654196">
              <w:rPr>
                <w:sz w:val="16"/>
                <w:szCs w:val="16"/>
                <w:lang w:val="en-US"/>
              </w:rPr>
              <w:tab/>
              <w:t>Alt.1: The UE shall meet the inter-band CA spherical coverage requirement simultaneously on 28 GHz and 39 GHz, the common spherical coverage range between the two bands shall be 50% for power class 3 UE.</w:t>
            </w:r>
          </w:p>
          <w:p w14:paraId="42579E2C" w14:textId="2DD9762A" w:rsidR="00654196" w:rsidRPr="00654196" w:rsidRDefault="00654196" w:rsidP="0012301B">
            <w:pPr>
              <w:pStyle w:val="B2"/>
              <w:spacing w:after="0"/>
              <w:rPr>
                <w:sz w:val="16"/>
                <w:szCs w:val="16"/>
                <w:lang w:val="en-US"/>
              </w:rPr>
            </w:pPr>
            <w:r w:rsidRPr="00654196">
              <w:rPr>
                <w:sz w:val="16"/>
                <w:szCs w:val="16"/>
                <w:lang w:val="en-US"/>
              </w:rPr>
              <w:t>-</w:t>
            </w:r>
            <w:r w:rsidRPr="00654196">
              <w:rPr>
                <w:sz w:val="16"/>
                <w:szCs w:val="16"/>
                <w:lang w:val="en-US"/>
              </w:rPr>
              <w:tab/>
              <w:t xml:space="preserve">Alt. 2:  The UE shall meet the inter-band CA spherical coverage requirement per band. </w:t>
            </w:r>
          </w:p>
          <w:p w14:paraId="2FC8E044" w14:textId="0A96FEE8" w:rsidR="00654196" w:rsidRPr="00AF4B6D" w:rsidRDefault="00654196" w:rsidP="0012301B">
            <w:pPr>
              <w:pStyle w:val="B2"/>
              <w:spacing w:after="0"/>
              <w:rPr>
                <w:lang w:val="en-US"/>
              </w:rPr>
            </w:pPr>
            <w:r w:rsidRPr="00654196">
              <w:rPr>
                <w:sz w:val="16"/>
                <w:szCs w:val="16"/>
                <w:lang w:val="en-US"/>
              </w:rPr>
              <w:t>-</w:t>
            </w:r>
            <w:r w:rsidRPr="00654196">
              <w:rPr>
                <w:sz w:val="16"/>
                <w:szCs w:val="16"/>
                <w:lang w:val="en-US"/>
              </w:rPr>
              <w:tab/>
              <w:t>Rel-15 spherical coverage requirement will be taken as baseline.</w:t>
            </w:r>
          </w:p>
        </w:tc>
      </w:tr>
    </w:tbl>
    <w:p w14:paraId="3D648BFF" w14:textId="3DA9368C" w:rsidR="00774153" w:rsidRDefault="00774153" w:rsidP="00774153">
      <w:pPr>
        <w:rPr>
          <w:lang w:val="en-US"/>
        </w:rPr>
      </w:pPr>
    </w:p>
    <w:p w14:paraId="1F9E7564" w14:textId="13CF58B0" w:rsidR="00F01939" w:rsidRDefault="00F01939" w:rsidP="00774153">
      <w:pPr>
        <w:rPr>
          <w:lang w:val="en-US"/>
        </w:rPr>
      </w:pPr>
      <w:r>
        <w:rPr>
          <w:lang w:val="en-US"/>
        </w:rPr>
        <w:t xml:space="preserve">The following agreements were made during the RAN4 #93 meeting </w:t>
      </w:r>
      <w:r>
        <w:rPr>
          <w:lang w:val="en-US"/>
        </w:rPr>
        <w:fldChar w:fldCharType="begin"/>
      </w:r>
      <w:r>
        <w:rPr>
          <w:lang w:val="en-US"/>
        </w:rPr>
        <w:instrText xml:space="preserve"> REF _Ref32329835 \r \h </w:instrText>
      </w:r>
      <w:r>
        <w:rPr>
          <w:lang w:val="en-US"/>
        </w:rPr>
      </w:r>
      <w:r>
        <w:rPr>
          <w:lang w:val="en-US"/>
        </w:rPr>
        <w:fldChar w:fldCharType="separate"/>
      </w:r>
      <w:r w:rsidR="00AC5544">
        <w:rPr>
          <w:lang w:val="en-US"/>
        </w:rPr>
        <w:t>[3]</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7D48E9" w14:paraId="60C91428" w14:textId="77777777" w:rsidTr="007D48E9">
        <w:tc>
          <w:tcPr>
            <w:tcW w:w="9631" w:type="dxa"/>
          </w:tcPr>
          <w:p w14:paraId="6AE8E5F5" w14:textId="77777777" w:rsidR="00654196" w:rsidRPr="00C2569A" w:rsidRDefault="00E338FC" w:rsidP="0012301B">
            <w:pPr>
              <w:spacing w:after="0"/>
              <w:rPr>
                <w:sz w:val="16"/>
                <w:szCs w:val="16"/>
              </w:rPr>
            </w:pPr>
            <w:r w:rsidRPr="00C2569A">
              <w:rPr>
                <w:sz w:val="16"/>
                <w:szCs w:val="16"/>
              </w:rPr>
              <w:t>WF on beam management</w:t>
            </w:r>
          </w:p>
          <w:p w14:paraId="14CC6590" w14:textId="66213C9C" w:rsidR="00E338FC" w:rsidRPr="00C2569A" w:rsidRDefault="00E338FC" w:rsidP="0012301B">
            <w:pPr>
              <w:pStyle w:val="B1"/>
              <w:spacing w:after="0"/>
              <w:rPr>
                <w:sz w:val="16"/>
                <w:szCs w:val="16"/>
              </w:rPr>
            </w:pPr>
            <w:r w:rsidRPr="00C2569A">
              <w:rPr>
                <w:sz w:val="16"/>
                <w:szCs w:val="16"/>
              </w:rPr>
              <w:t>-</w:t>
            </w:r>
            <w:r w:rsidRPr="00C2569A">
              <w:rPr>
                <w:sz w:val="16"/>
                <w:szCs w:val="16"/>
              </w:rPr>
              <w:tab/>
              <w:t>UE is assumed to be feasible to have independent beam management for the bands that are part of supported band configuration in inter-band CA for 28 GHz + 39 GHz combinations.</w:t>
            </w:r>
          </w:p>
          <w:p w14:paraId="006102C2" w14:textId="2ED43B29" w:rsidR="00E338FC" w:rsidRPr="00C2569A" w:rsidRDefault="00E338FC" w:rsidP="0012301B">
            <w:pPr>
              <w:pStyle w:val="B1"/>
              <w:spacing w:after="0"/>
              <w:rPr>
                <w:sz w:val="16"/>
                <w:szCs w:val="16"/>
              </w:rPr>
            </w:pPr>
            <w:r w:rsidRPr="00C2569A">
              <w:rPr>
                <w:sz w:val="16"/>
                <w:szCs w:val="16"/>
              </w:rPr>
              <w:t>-</w:t>
            </w:r>
            <w:r w:rsidRPr="00C2569A">
              <w:rPr>
                <w:sz w:val="16"/>
                <w:szCs w:val="16"/>
              </w:rPr>
              <w:tab/>
              <w:t xml:space="preserve"> “28GHz” stands for a band group includes n257, n258, n261</w:t>
            </w:r>
          </w:p>
          <w:p w14:paraId="24B37DDB" w14:textId="3A67E8D1" w:rsidR="00E338FC" w:rsidRPr="00C2569A" w:rsidRDefault="00E338FC" w:rsidP="0012301B">
            <w:pPr>
              <w:pStyle w:val="B1"/>
              <w:spacing w:after="0"/>
              <w:rPr>
                <w:sz w:val="16"/>
                <w:szCs w:val="16"/>
              </w:rPr>
            </w:pPr>
            <w:r w:rsidRPr="00C2569A">
              <w:rPr>
                <w:sz w:val="16"/>
                <w:szCs w:val="16"/>
              </w:rPr>
              <w:t>-</w:t>
            </w:r>
            <w:r w:rsidRPr="00C2569A">
              <w:rPr>
                <w:sz w:val="16"/>
                <w:szCs w:val="16"/>
              </w:rPr>
              <w:tab/>
              <w:t xml:space="preserve"> “39GHz” stands for a band group includes n259, n260</w:t>
            </w:r>
          </w:p>
          <w:p w14:paraId="14F008F0" w14:textId="3F5B6C92" w:rsidR="00E338FC" w:rsidRPr="00C2569A" w:rsidRDefault="00E338FC" w:rsidP="0012301B">
            <w:pPr>
              <w:pStyle w:val="B1"/>
              <w:spacing w:after="0"/>
              <w:rPr>
                <w:sz w:val="16"/>
                <w:szCs w:val="16"/>
              </w:rPr>
            </w:pPr>
            <w:r w:rsidRPr="00C2569A">
              <w:rPr>
                <w:sz w:val="16"/>
                <w:szCs w:val="16"/>
              </w:rPr>
              <w:t>-</w:t>
            </w:r>
            <w:r w:rsidRPr="00C2569A">
              <w:rPr>
                <w:sz w:val="16"/>
                <w:szCs w:val="16"/>
              </w:rPr>
              <w:tab/>
              <w:t>Beam management for the bands that are part of supported band configuration in inter-band CA for 28 GHz + 28 GHz or 39 GHz + 39 GHz combinations.</w:t>
            </w:r>
          </w:p>
          <w:p w14:paraId="5793A0E6" w14:textId="3161044B" w:rsidR="00E338FC" w:rsidRPr="00C2569A" w:rsidRDefault="00E338FC" w:rsidP="0012301B">
            <w:pPr>
              <w:pStyle w:val="B1"/>
              <w:spacing w:after="0"/>
              <w:rPr>
                <w:sz w:val="16"/>
                <w:szCs w:val="16"/>
              </w:rPr>
            </w:pPr>
            <w:r w:rsidRPr="00C2569A">
              <w:rPr>
                <w:sz w:val="16"/>
                <w:szCs w:val="16"/>
              </w:rPr>
              <w:t>-</w:t>
            </w:r>
            <w:r w:rsidRPr="00C2569A">
              <w:rPr>
                <w:sz w:val="16"/>
                <w:szCs w:val="16"/>
              </w:rPr>
              <w:tab/>
              <w:t>Alt 1: UE is assumed to have common beam  management</w:t>
            </w:r>
          </w:p>
          <w:p w14:paraId="23656F73" w14:textId="71EE7042" w:rsidR="00E338FC" w:rsidRPr="00C2569A" w:rsidRDefault="00E338FC" w:rsidP="0012301B">
            <w:pPr>
              <w:pStyle w:val="B1"/>
              <w:spacing w:after="0"/>
              <w:rPr>
                <w:sz w:val="16"/>
                <w:szCs w:val="16"/>
              </w:rPr>
            </w:pPr>
            <w:r w:rsidRPr="00C2569A">
              <w:rPr>
                <w:sz w:val="16"/>
                <w:szCs w:val="16"/>
              </w:rPr>
              <w:t>-</w:t>
            </w:r>
            <w:r w:rsidRPr="00C2569A">
              <w:rPr>
                <w:sz w:val="16"/>
                <w:szCs w:val="16"/>
              </w:rPr>
              <w:tab/>
              <w:t>Alt 2: UE is assumed to have independent beam  management</w:t>
            </w:r>
          </w:p>
          <w:p w14:paraId="4B280391" w14:textId="77777777" w:rsidR="00E338FC" w:rsidRPr="00C2569A" w:rsidRDefault="00E338FC" w:rsidP="0012301B">
            <w:pPr>
              <w:spacing w:after="0"/>
              <w:rPr>
                <w:sz w:val="16"/>
                <w:szCs w:val="16"/>
              </w:rPr>
            </w:pPr>
            <w:r w:rsidRPr="00C2569A">
              <w:rPr>
                <w:sz w:val="16"/>
                <w:szCs w:val="16"/>
              </w:rPr>
              <w:t>WF on EIS spherical coverage</w:t>
            </w:r>
          </w:p>
          <w:p w14:paraId="335075C2" w14:textId="4ADA9947" w:rsidR="00E338FC" w:rsidRPr="00C2569A" w:rsidRDefault="00E338FC" w:rsidP="0012301B">
            <w:pPr>
              <w:pStyle w:val="B1"/>
              <w:spacing w:after="0"/>
              <w:rPr>
                <w:sz w:val="16"/>
                <w:szCs w:val="16"/>
              </w:rPr>
            </w:pPr>
            <w:r w:rsidRPr="00C2569A">
              <w:rPr>
                <w:sz w:val="16"/>
                <w:szCs w:val="16"/>
              </w:rPr>
              <w:t>-</w:t>
            </w:r>
            <w:r w:rsidRPr="00C2569A">
              <w:rPr>
                <w:sz w:val="16"/>
                <w:szCs w:val="16"/>
              </w:rPr>
              <w:tab/>
              <w:t>Spherical coverage requirements for inter-band CA are tested from single AoA for Rel-16 if the following testability solution can be provided.</w:t>
            </w:r>
          </w:p>
          <w:p w14:paraId="30C26288" w14:textId="035ADEE7" w:rsidR="00E338FC" w:rsidRPr="00C2569A" w:rsidRDefault="00E338FC" w:rsidP="0012301B">
            <w:pPr>
              <w:pStyle w:val="B2"/>
              <w:spacing w:after="0"/>
              <w:rPr>
                <w:sz w:val="16"/>
                <w:szCs w:val="16"/>
              </w:rPr>
            </w:pPr>
            <w:r w:rsidRPr="00C2569A">
              <w:rPr>
                <w:sz w:val="16"/>
                <w:szCs w:val="16"/>
              </w:rPr>
              <w:t>-</w:t>
            </w:r>
            <w:r w:rsidRPr="00C2569A">
              <w:rPr>
                <w:sz w:val="16"/>
                <w:szCs w:val="16"/>
              </w:rPr>
              <w:tab/>
              <w:t>Testability SI will study the TE capability of transmitting 28 GHz + 39 GHz, 28 GHz + 28 GHz, or 39 GHz + 39GHz from same direction simultaneously.</w:t>
            </w:r>
          </w:p>
          <w:p w14:paraId="2C4AB7BA" w14:textId="5025EC74" w:rsidR="00E338FC" w:rsidRPr="00C2569A" w:rsidRDefault="00E338FC" w:rsidP="0012301B">
            <w:pPr>
              <w:pStyle w:val="B2"/>
              <w:spacing w:after="0"/>
              <w:rPr>
                <w:sz w:val="16"/>
                <w:szCs w:val="16"/>
              </w:rPr>
            </w:pPr>
            <w:r w:rsidRPr="00C2569A">
              <w:rPr>
                <w:sz w:val="16"/>
                <w:szCs w:val="16"/>
              </w:rPr>
              <w:t>-</w:t>
            </w:r>
            <w:r w:rsidRPr="00C2569A">
              <w:rPr>
                <w:sz w:val="16"/>
                <w:szCs w:val="16"/>
              </w:rPr>
              <w:tab/>
              <w:t xml:space="preserve">PSD condition among bands. </w:t>
            </w:r>
          </w:p>
          <w:p w14:paraId="49771683" w14:textId="59ED023E" w:rsidR="00E338FC" w:rsidRPr="00C2569A" w:rsidRDefault="00E338FC" w:rsidP="0012301B">
            <w:pPr>
              <w:pStyle w:val="B3"/>
              <w:spacing w:after="0"/>
              <w:rPr>
                <w:sz w:val="16"/>
                <w:szCs w:val="16"/>
              </w:rPr>
            </w:pPr>
            <w:r w:rsidRPr="00C2569A">
              <w:rPr>
                <w:sz w:val="16"/>
                <w:szCs w:val="16"/>
              </w:rPr>
              <w:t>-</w:t>
            </w:r>
            <w:r w:rsidRPr="00C2569A">
              <w:rPr>
                <w:sz w:val="16"/>
                <w:szCs w:val="16"/>
              </w:rPr>
              <w:tab/>
              <w:t>PSD difference up to TBD dB between 28GHz and 39GHz shall be considered in the conformance test configuration and [equal] PSD among 28+28 and 39+39 band groups</w:t>
            </w:r>
          </w:p>
          <w:p w14:paraId="78A7856A" w14:textId="747BF823" w:rsidR="00E338FC" w:rsidRPr="00C2569A" w:rsidRDefault="00E338FC" w:rsidP="0012301B">
            <w:pPr>
              <w:pStyle w:val="B3"/>
              <w:spacing w:after="0"/>
              <w:rPr>
                <w:sz w:val="16"/>
                <w:szCs w:val="16"/>
              </w:rPr>
            </w:pPr>
            <w:r w:rsidRPr="00C2569A">
              <w:rPr>
                <w:sz w:val="16"/>
                <w:szCs w:val="16"/>
              </w:rPr>
              <w:t>-</w:t>
            </w:r>
            <w:r w:rsidRPr="00C2569A">
              <w:rPr>
                <w:sz w:val="16"/>
                <w:szCs w:val="16"/>
              </w:rPr>
              <w:tab/>
              <w:t>Confirm PSD condition for each scenario in RAN4#94.</w:t>
            </w:r>
          </w:p>
          <w:p w14:paraId="4DB62DF1" w14:textId="52EB3AF8" w:rsidR="00E338FC" w:rsidRPr="00C2569A" w:rsidRDefault="00E338FC" w:rsidP="0012301B">
            <w:pPr>
              <w:pStyle w:val="B1"/>
              <w:spacing w:after="0"/>
              <w:rPr>
                <w:sz w:val="16"/>
                <w:szCs w:val="16"/>
              </w:rPr>
            </w:pPr>
            <w:r w:rsidRPr="00C2569A">
              <w:rPr>
                <w:sz w:val="16"/>
                <w:szCs w:val="16"/>
              </w:rPr>
              <w:t>-</w:t>
            </w:r>
            <w:r w:rsidRPr="00C2569A">
              <w:rPr>
                <w:sz w:val="16"/>
                <w:szCs w:val="16"/>
              </w:rPr>
              <w:tab/>
              <w:t>Defining EIS spherical coverage requirement for inter-band CA.</w:t>
            </w:r>
          </w:p>
          <w:p w14:paraId="610D48E5" w14:textId="2542176F" w:rsidR="00E338FC" w:rsidRPr="00C2569A" w:rsidRDefault="00E338FC" w:rsidP="0012301B">
            <w:pPr>
              <w:pStyle w:val="B2"/>
              <w:spacing w:after="0"/>
              <w:rPr>
                <w:sz w:val="16"/>
                <w:szCs w:val="16"/>
              </w:rPr>
            </w:pPr>
            <w:r w:rsidRPr="00C2569A">
              <w:rPr>
                <w:sz w:val="16"/>
                <w:szCs w:val="16"/>
              </w:rPr>
              <w:t>-</w:t>
            </w:r>
            <w:r w:rsidRPr="00C2569A">
              <w:rPr>
                <w:sz w:val="16"/>
                <w:szCs w:val="16"/>
              </w:rPr>
              <w:tab/>
              <w:t>The UE shall meet the EIS spherical coverage requirement simultaneously among bands, the common EIS spherical coverage range between the two bands shall be 50% for power class 3 UE.</w:t>
            </w:r>
          </w:p>
          <w:p w14:paraId="04483294" w14:textId="7389C0E8" w:rsidR="00E338FC" w:rsidRPr="00C2569A" w:rsidRDefault="00E338FC" w:rsidP="0012301B">
            <w:pPr>
              <w:pStyle w:val="B2"/>
              <w:spacing w:after="0"/>
              <w:rPr>
                <w:sz w:val="16"/>
                <w:szCs w:val="16"/>
              </w:rPr>
            </w:pPr>
            <w:r w:rsidRPr="00C2569A">
              <w:rPr>
                <w:sz w:val="16"/>
                <w:szCs w:val="16"/>
              </w:rPr>
              <w:t>-</w:t>
            </w:r>
            <w:r w:rsidRPr="00C2569A">
              <w:rPr>
                <w:sz w:val="16"/>
                <w:szCs w:val="16"/>
              </w:rPr>
              <w:tab/>
              <w:t>Rel-15 EIS spherical coverage requirement will be taken as baseline assuming that the relaxation for 50%-tile point for power class 3 UE is introduced. The relaxation framework and value are FFS. Relaxation value cannot be 0.</w:t>
            </w:r>
          </w:p>
        </w:tc>
      </w:tr>
    </w:tbl>
    <w:p w14:paraId="4E888A08" w14:textId="2E2C267A" w:rsidR="00F01939" w:rsidRDefault="00F01939" w:rsidP="00774153">
      <w:pPr>
        <w:rPr>
          <w:lang w:val="en-US"/>
        </w:rPr>
      </w:pPr>
    </w:p>
    <w:p w14:paraId="16103E22" w14:textId="06A3D6D1" w:rsidR="00AF4B6D" w:rsidRDefault="005F42E3" w:rsidP="00061C04">
      <w:pPr>
        <w:rPr>
          <w:lang w:val="en-US"/>
        </w:rPr>
      </w:pPr>
      <w:r w:rsidRPr="00B67FC6">
        <w:rPr>
          <w:lang w:val="en-US"/>
        </w:rPr>
        <w:t xml:space="preserve">This </w:t>
      </w:r>
      <w:r w:rsidR="006C3B9C" w:rsidRPr="00B67FC6">
        <w:rPr>
          <w:lang w:val="en-US"/>
        </w:rPr>
        <w:t>contribution</w:t>
      </w:r>
      <w:r w:rsidR="00C742F2" w:rsidRPr="00B67FC6">
        <w:rPr>
          <w:lang w:val="en-US"/>
        </w:rPr>
        <w:t xml:space="preserve"> </w:t>
      </w:r>
      <w:r w:rsidR="00061C04">
        <w:rPr>
          <w:lang w:val="en-US"/>
        </w:rPr>
        <w:t xml:space="preserve">provides our </w:t>
      </w:r>
      <w:r w:rsidR="00AF4B6D">
        <w:rPr>
          <w:lang w:val="en-US"/>
        </w:rPr>
        <w:t>analysis of the FR2 DL inter-band CA EIS requirement</w:t>
      </w:r>
      <w:r w:rsidR="0011390E">
        <w:rPr>
          <w:lang w:val="en-US"/>
        </w:rPr>
        <w:t>s</w:t>
      </w:r>
      <w:r w:rsidR="00AF4B6D">
        <w:rPr>
          <w:lang w:val="en-US"/>
        </w:rPr>
        <w:t>.</w:t>
      </w:r>
    </w:p>
    <w:p w14:paraId="3A67921B" w14:textId="06554855" w:rsidR="008E7986" w:rsidRPr="00B67FC6" w:rsidRDefault="008E7986" w:rsidP="008E7986">
      <w:pPr>
        <w:pStyle w:val="Heading1"/>
        <w:rPr>
          <w:lang w:val="en-US"/>
        </w:rPr>
      </w:pPr>
      <w:r w:rsidRPr="00B67FC6">
        <w:rPr>
          <w:lang w:val="en-US"/>
        </w:rPr>
        <w:lastRenderedPageBreak/>
        <w:t>2</w:t>
      </w:r>
      <w:r w:rsidRPr="00B67FC6">
        <w:rPr>
          <w:lang w:val="en-US"/>
        </w:rPr>
        <w:tab/>
      </w:r>
      <w:r w:rsidR="00E024C7" w:rsidRPr="00B67FC6">
        <w:rPr>
          <w:lang w:val="en-US"/>
        </w:rPr>
        <w:t>Discussion</w:t>
      </w:r>
    </w:p>
    <w:p w14:paraId="3ECD6C3C" w14:textId="0DBCA081" w:rsidR="002E68C5" w:rsidRDefault="00A1199C" w:rsidP="0090166D">
      <w:pPr>
        <w:rPr>
          <w:lang w:val="en-US"/>
        </w:rPr>
      </w:pPr>
      <w:r>
        <w:rPr>
          <w:lang w:val="en-US"/>
        </w:rPr>
        <w:t xml:space="preserve">Based on the related discussion in </w:t>
      </w:r>
      <w:r>
        <w:rPr>
          <w:lang w:val="en-US"/>
        </w:rPr>
        <w:fldChar w:fldCharType="begin"/>
      </w:r>
      <w:r>
        <w:rPr>
          <w:lang w:val="en-US"/>
        </w:rPr>
        <w:instrText xml:space="preserve"> REF _Ref32357962 \r \h </w:instrText>
      </w:r>
      <w:r>
        <w:rPr>
          <w:lang w:val="en-US"/>
        </w:rPr>
      </w:r>
      <w:r>
        <w:rPr>
          <w:lang w:val="en-US"/>
        </w:rPr>
        <w:fldChar w:fldCharType="separate"/>
      </w:r>
      <w:r w:rsidR="00AC5544">
        <w:rPr>
          <w:lang w:val="en-US"/>
        </w:rPr>
        <w:t>[4]</w:t>
      </w:r>
      <w:r>
        <w:rPr>
          <w:lang w:val="en-US"/>
        </w:rPr>
        <w:fldChar w:fldCharType="end"/>
      </w:r>
      <w:r>
        <w:rPr>
          <w:lang w:val="en-US"/>
        </w:rPr>
        <w:t>, Figure 1 below summarizes the key aspects of the reference architectures for CA within 28+39 GHz band groups and CA within 28+28/39+39 GHz band groups, respectively.</w:t>
      </w:r>
    </w:p>
    <w:p w14:paraId="41A93EDA" w14:textId="60013AC9" w:rsidR="002E68C5" w:rsidRDefault="002E68C5" w:rsidP="002E68C5">
      <w:pPr>
        <w:keepNext/>
        <w:jc w:val="center"/>
      </w:pPr>
      <w:r w:rsidRPr="002E68C5">
        <w:rPr>
          <w:noProof/>
          <w:lang w:val="en-US"/>
        </w:rPr>
        <w:drawing>
          <wp:inline distT="0" distB="0" distL="0" distR="0" wp14:anchorId="17F9163F" wp14:editId="3AB3AA76">
            <wp:extent cx="2971800" cy="1620242"/>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71800" cy="1620242"/>
                    </a:xfrm>
                    <a:prstGeom prst="rect">
                      <a:avLst/>
                    </a:prstGeom>
                  </pic:spPr>
                </pic:pic>
              </a:graphicData>
            </a:graphic>
          </wp:inline>
        </w:drawing>
      </w:r>
      <w:r w:rsidRPr="002E68C5">
        <w:rPr>
          <w:noProof/>
          <w:lang w:val="en-US"/>
        </w:rPr>
        <w:drawing>
          <wp:inline distT="0" distB="0" distL="0" distR="0" wp14:anchorId="4739882E" wp14:editId="7215903A">
            <wp:extent cx="2971800" cy="15917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1800" cy="1591733"/>
                    </a:xfrm>
                    <a:prstGeom prst="rect">
                      <a:avLst/>
                    </a:prstGeom>
                  </pic:spPr>
                </pic:pic>
              </a:graphicData>
            </a:graphic>
          </wp:inline>
        </w:drawing>
      </w:r>
    </w:p>
    <w:p w14:paraId="1BD14909" w14:textId="4C7172C6" w:rsidR="00A1199C" w:rsidRDefault="002E68C5" w:rsidP="001052AE">
      <w:pPr>
        <w:pStyle w:val="Caption"/>
        <w:jc w:val="center"/>
        <w:rPr>
          <w:lang w:val="en-US"/>
        </w:rPr>
      </w:pPr>
      <w:r>
        <w:t xml:space="preserve">Figure </w:t>
      </w:r>
      <w:r w:rsidR="003F6907">
        <w:fldChar w:fldCharType="begin"/>
      </w:r>
      <w:r w:rsidR="003F6907">
        <w:instrText xml:space="preserve"> SEQ Figure \* ARABIC </w:instrText>
      </w:r>
      <w:r w:rsidR="003F6907">
        <w:fldChar w:fldCharType="separate"/>
      </w:r>
      <w:r w:rsidR="00AC5544">
        <w:rPr>
          <w:noProof/>
        </w:rPr>
        <w:t>1</w:t>
      </w:r>
      <w:r w:rsidR="003F6907">
        <w:rPr>
          <w:noProof/>
        </w:rPr>
        <w:fldChar w:fldCharType="end"/>
      </w:r>
      <w:r>
        <w:t>: Reference architecture assumptions for FR2 inter-band CA</w:t>
      </w:r>
    </w:p>
    <w:p w14:paraId="33B8DC06" w14:textId="1E7A4006" w:rsidR="00B97B84" w:rsidRDefault="00B97B84" w:rsidP="0090166D">
      <w:pPr>
        <w:rPr>
          <w:lang w:val="en-US"/>
        </w:rPr>
      </w:pPr>
      <w:r>
        <w:rPr>
          <w:lang w:val="en-US"/>
        </w:rPr>
        <w:t xml:space="preserve">Based on the agreement in </w:t>
      </w:r>
      <w:r>
        <w:rPr>
          <w:lang w:val="en-US"/>
        </w:rPr>
        <w:fldChar w:fldCharType="begin"/>
      </w:r>
      <w:r>
        <w:rPr>
          <w:lang w:val="en-US"/>
        </w:rPr>
        <w:instrText xml:space="preserve"> REF _Ref32329835 \r \h </w:instrText>
      </w:r>
      <w:r>
        <w:rPr>
          <w:lang w:val="en-US"/>
        </w:rPr>
      </w:r>
      <w:r>
        <w:rPr>
          <w:lang w:val="en-US"/>
        </w:rPr>
        <w:fldChar w:fldCharType="separate"/>
      </w:r>
      <w:r w:rsidR="00AC5544">
        <w:rPr>
          <w:lang w:val="en-US"/>
        </w:rPr>
        <w:t>[3]</w:t>
      </w:r>
      <w:r>
        <w:rPr>
          <w:lang w:val="en-US"/>
        </w:rPr>
        <w:fldChar w:fldCharType="end"/>
      </w:r>
      <w:r>
        <w:rPr>
          <w:lang w:val="en-US"/>
        </w:rPr>
        <w:t xml:space="preserve">, </w:t>
      </w:r>
      <w:r w:rsidR="00977951">
        <w:rPr>
          <w:lang w:val="en-US"/>
        </w:rPr>
        <w:t>the remaining open issue related to the beam management assumption is whether to select Alt. 1 (UE is assumed to have common beam management) vs. Alt. 2 (UE is assumed to have independent beam management).  From the UE architecture perspective, Alt. 2 introduces a number of complexities, such as additional receiver hardware components and isolation requirements, which are not present in Alt. 1.  This design option, however, may not be well motivated from the network deployment perspective</w:t>
      </w:r>
      <w:r w:rsidR="00DC5A8F">
        <w:rPr>
          <w:lang w:val="en-US"/>
        </w:rPr>
        <w:t xml:space="preserve">.  In the case of 28+39 CA, the motivation </w:t>
      </w:r>
      <w:r w:rsidR="002866FE">
        <w:rPr>
          <w:lang w:val="en-US"/>
        </w:rPr>
        <w:t xml:space="preserve">to distribute the </w:t>
      </w:r>
      <w:r w:rsidR="00DC5A8F">
        <w:rPr>
          <w:lang w:val="en-US"/>
        </w:rPr>
        <w:t xml:space="preserve">28 GHz and 39 GHz gNBs is well understood given differences in cell size and coverage of the two sets of bands.  In the case of 28+28 CA, however, cell sizes are the same, and there is no real benefit in </w:t>
      </w:r>
      <w:r w:rsidR="002866FE">
        <w:rPr>
          <w:lang w:val="en-US"/>
        </w:rPr>
        <w:t>distributing</w:t>
      </w:r>
      <w:r w:rsidR="00DC5A8F">
        <w:rPr>
          <w:lang w:val="en-US"/>
        </w:rPr>
        <w:t xml:space="preserve"> the gNBs.</w:t>
      </w:r>
    </w:p>
    <w:p w14:paraId="2707B97F" w14:textId="3C917E50" w:rsidR="00876E4D" w:rsidRDefault="00876E4D" w:rsidP="00876E4D">
      <w:pPr>
        <w:pStyle w:val="Proposal"/>
        <w:rPr>
          <w:lang w:val="en-US"/>
        </w:rPr>
      </w:pPr>
      <w:bookmarkStart w:id="1" w:name="_Toc32359872"/>
      <w:bookmarkStart w:id="2" w:name="_Toc32359919"/>
      <w:bookmarkStart w:id="3" w:name="_Toc32363292"/>
      <w:bookmarkStart w:id="4" w:name="_Toc32363722"/>
      <w:bookmarkStart w:id="5" w:name="_Toc32551535"/>
      <w:r w:rsidRPr="00B67FC6">
        <w:rPr>
          <w:lang w:val="en-US"/>
        </w:rPr>
        <w:t>Proposal 1:</w:t>
      </w:r>
      <w:r w:rsidRPr="00B67FC6">
        <w:rPr>
          <w:lang w:val="en-US"/>
        </w:rPr>
        <w:tab/>
      </w:r>
      <w:r>
        <w:rPr>
          <w:lang w:val="en-US"/>
        </w:rPr>
        <w:t>RAN4 assumes Alt. 1 (UE is assumed to have common beam management) for b</w:t>
      </w:r>
      <w:r w:rsidRPr="00876E4D">
        <w:rPr>
          <w:lang w:val="en-US"/>
        </w:rPr>
        <w:t>eam management for the bands that are part of supported band configuration in inter-band CA for 28 GHz + 28 GHz or 39 GHz + 39 GHz combinations</w:t>
      </w:r>
      <w:r>
        <w:rPr>
          <w:lang w:val="en-US"/>
        </w:rPr>
        <w:t>.</w:t>
      </w:r>
      <w:bookmarkEnd w:id="1"/>
      <w:bookmarkEnd w:id="2"/>
      <w:bookmarkEnd w:id="3"/>
      <w:bookmarkEnd w:id="4"/>
      <w:bookmarkEnd w:id="5"/>
    </w:p>
    <w:p w14:paraId="5CDC0331" w14:textId="2A8E7D96" w:rsidR="00374F36" w:rsidRDefault="00B53321" w:rsidP="0090166D">
      <w:pPr>
        <w:rPr>
          <w:lang w:val="en-US"/>
        </w:rPr>
      </w:pPr>
      <w:r>
        <w:rPr>
          <w:lang w:val="en-US"/>
        </w:rPr>
        <w:t xml:space="preserve">The </w:t>
      </w:r>
      <w:r w:rsidR="00374F36">
        <w:rPr>
          <w:lang w:val="en-US"/>
        </w:rPr>
        <w:t>PSD assumption</w:t>
      </w:r>
      <w:r>
        <w:rPr>
          <w:lang w:val="en-US"/>
        </w:rPr>
        <w:t>s for these CA scenarios follow as well.  In the case of CA within 28+39 GHz band groups</w:t>
      </w:r>
      <w:r w:rsidR="00FB2EC6">
        <w:rPr>
          <w:lang w:val="en-US"/>
        </w:rPr>
        <w:t>, a further study into the conformance test configuration is needed.</w:t>
      </w:r>
    </w:p>
    <w:p w14:paraId="15711E8E" w14:textId="3FFDA667" w:rsidR="00B53321" w:rsidRDefault="00B53321" w:rsidP="00B53321">
      <w:pPr>
        <w:pStyle w:val="Proposal"/>
        <w:rPr>
          <w:lang w:val="en-US"/>
        </w:rPr>
      </w:pPr>
      <w:bookmarkStart w:id="6" w:name="_Toc32359873"/>
      <w:bookmarkStart w:id="7" w:name="_Toc32359920"/>
      <w:bookmarkStart w:id="8" w:name="_Toc32363293"/>
      <w:bookmarkStart w:id="9" w:name="_Toc32363723"/>
      <w:bookmarkStart w:id="10" w:name="_Toc32551536"/>
      <w:r w:rsidRPr="00B67FC6">
        <w:rPr>
          <w:lang w:val="en-US"/>
        </w:rPr>
        <w:t xml:space="preserve">Proposal </w:t>
      </w:r>
      <w:r>
        <w:rPr>
          <w:lang w:val="en-US"/>
        </w:rPr>
        <w:t>2</w:t>
      </w:r>
      <w:r w:rsidRPr="00B67FC6">
        <w:rPr>
          <w:lang w:val="en-US"/>
        </w:rPr>
        <w:t>:</w:t>
      </w:r>
      <w:r w:rsidRPr="00B67FC6">
        <w:rPr>
          <w:lang w:val="en-US"/>
        </w:rPr>
        <w:tab/>
      </w:r>
      <w:r>
        <w:rPr>
          <w:lang w:val="en-US"/>
        </w:rPr>
        <w:t>Equal PSD among 28+28 and 39+39 band groups can be confirmed for the conformance test configuration.</w:t>
      </w:r>
      <w:bookmarkEnd w:id="6"/>
      <w:bookmarkEnd w:id="7"/>
      <w:bookmarkEnd w:id="8"/>
      <w:bookmarkEnd w:id="9"/>
      <w:bookmarkEnd w:id="10"/>
    </w:p>
    <w:p w14:paraId="028C94CA" w14:textId="219E9461" w:rsidR="00B53321" w:rsidRDefault="00B53321" w:rsidP="00B53321">
      <w:pPr>
        <w:pStyle w:val="Proposal"/>
        <w:rPr>
          <w:lang w:val="en-US"/>
        </w:rPr>
      </w:pPr>
      <w:bookmarkStart w:id="11" w:name="_Toc32359874"/>
      <w:bookmarkStart w:id="12" w:name="_Toc32359921"/>
      <w:bookmarkStart w:id="13" w:name="_Toc32363294"/>
      <w:bookmarkStart w:id="14" w:name="_Toc32363724"/>
      <w:bookmarkStart w:id="15" w:name="_Toc32551537"/>
      <w:r w:rsidRPr="00B67FC6">
        <w:rPr>
          <w:lang w:val="en-US"/>
        </w:rPr>
        <w:t xml:space="preserve">Proposal </w:t>
      </w:r>
      <w:r>
        <w:rPr>
          <w:lang w:val="en-US"/>
        </w:rPr>
        <w:t>3</w:t>
      </w:r>
      <w:r w:rsidRPr="00B67FC6">
        <w:rPr>
          <w:lang w:val="en-US"/>
        </w:rPr>
        <w:t>:</w:t>
      </w:r>
      <w:r w:rsidRPr="00B67FC6">
        <w:rPr>
          <w:lang w:val="en-US"/>
        </w:rPr>
        <w:tab/>
      </w:r>
      <w:r w:rsidR="00FB2EC6">
        <w:rPr>
          <w:lang w:val="en-US"/>
        </w:rPr>
        <w:t>RAN4 to study further the conformance test configuration for the 28+39 CA scenario</w:t>
      </w:r>
      <w:r>
        <w:rPr>
          <w:lang w:val="en-US"/>
        </w:rPr>
        <w:t>.</w:t>
      </w:r>
      <w:bookmarkEnd w:id="11"/>
      <w:bookmarkEnd w:id="12"/>
      <w:bookmarkEnd w:id="13"/>
      <w:bookmarkEnd w:id="14"/>
      <w:bookmarkEnd w:id="15"/>
    </w:p>
    <w:p w14:paraId="23036299" w14:textId="2C22F68B" w:rsidR="00443A6A" w:rsidRDefault="00FB2EC6" w:rsidP="0090166D">
      <w:pPr>
        <w:rPr>
          <w:lang w:val="en-US"/>
        </w:rPr>
      </w:pPr>
      <w:r>
        <w:rPr>
          <w:lang w:val="en-US"/>
        </w:rPr>
        <w:t>With the</w:t>
      </w:r>
      <w:r w:rsidR="00BC6E8D">
        <w:rPr>
          <w:lang w:val="en-US"/>
        </w:rPr>
        <w:t>se assumptions in place, the analysis of inter-band CA EIS spherical coverage can be undertaken.  Table 1 below lists our simulation assumptions.</w:t>
      </w:r>
    </w:p>
    <w:p w14:paraId="53EA3BE2" w14:textId="6390F607" w:rsidR="00443A6A" w:rsidRPr="003E244D" w:rsidRDefault="00443A6A" w:rsidP="00443A6A">
      <w:pPr>
        <w:pStyle w:val="TH"/>
      </w:pPr>
      <w:r w:rsidRPr="003E244D">
        <w:t xml:space="preserve">Table </w:t>
      </w:r>
      <w:r>
        <w:t>1</w:t>
      </w:r>
      <w:r w:rsidRPr="003E244D">
        <w:t xml:space="preserve">: Simulation assumptions for </w:t>
      </w:r>
      <w:r w:rsidR="00224672">
        <w:t>inter-band CA EIS spherical coverage</w:t>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3136"/>
        <w:gridCol w:w="4998"/>
      </w:tblGrid>
      <w:tr w:rsidR="00443A6A" w:rsidRPr="003E244D" w14:paraId="7A9AD000" w14:textId="77777777" w:rsidTr="003811A1">
        <w:trPr>
          <w:trHeight w:val="20"/>
          <w:jc w:val="center"/>
        </w:trPr>
        <w:tc>
          <w:tcPr>
            <w:tcW w:w="2448" w:type="dxa"/>
            <w:shd w:val="clear" w:color="auto" w:fill="auto"/>
            <w:noWrap/>
          </w:tcPr>
          <w:p w14:paraId="5C081EB2" w14:textId="77777777" w:rsidR="00443A6A" w:rsidRPr="003E244D" w:rsidRDefault="00443A6A" w:rsidP="00865E54">
            <w:pPr>
              <w:pStyle w:val="TAH"/>
            </w:pPr>
            <w:r w:rsidRPr="003E244D">
              <w:t>Parameter</w:t>
            </w:r>
          </w:p>
        </w:tc>
        <w:tc>
          <w:tcPr>
            <w:tcW w:w="2880" w:type="dxa"/>
            <w:shd w:val="clear" w:color="auto" w:fill="auto"/>
            <w:noWrap/>
          </w:tcPr>
          <w:p w14:paraId="3E8E8B73" w14:textId="77777777" w:rsidR="00443A6A" w:rsidRPr="003E244D" w:rsidRDefault="00443A6A" w:rsidP="00865E54">
            <w:pPr>
              <w:pStyle w:val="TAH"/>
            </w:pPr>
            <w:r w:rsidRPr="003E244D">
              <w:t>Value</w:t>
            </w:r>
          </w:p>
        </w:tc>
        <w:tc>
          <w:tcPr>
            <w:tcW w:w="4590" w:type="dxa"/>
          </w:tcPr>
          <w:p w14:paraId="7D888D1F" w14:textId="77777777" w:rsidR="00443A6A" w:rsidRPr="003E244D" w:rsidRDefault="00443A6A" w:rsidP="00865E54">
            <w:pPr>
              <w:pStyle w:val="TAH"/>
            </w:pPr>
            <w:r w:rsidRPr="003E244D">
              <w:t>Notes</w:t>
            </w:r>
          </w:p>
        </w:tc>
      </w:tr>
      <w:tr w:rsidR="00443A6A" w:rsidRPr="003E244D" w14:paraId="30427AEE" w14:textId="77777777" w:rsidTr="003811A1">
        <w:trPr>
          <w:trHeight w:val="20"/>
          <w:jc w:val="center"/>
        </w:trPr>
        <w:tc>
          <w:tcPr>
            <w:tcW w:w="2448" w:type="dxa"/>
            <w:shd w:val="clear" w:color="auto" w:fill="auto"/>
            <w:noWrap/>
          </w:tcPr>
          <w:p w14:paraId="202A8604" w14:textId="77777777" w:rsidR="00443A6A" w:rsidRPr="003E244D" w:rsidRDefault="00443A6A" w:rsidP="0012301B">
            <w:pPr>
              <w:pStyle w:val="TAL"/>
            </w:pPr>
            <w:r w:rsidRPr="003E244D">
              <w:t>Antenna array size</w:t>
            </w:r>
          </w:p>
        </w:tc>
        <w:tc>
          <w:tcPr>
            <w:tcW w:w="2880" w:type="dxa"/>
            <w:shd w:val="clear" w:color="auto" w:fill="auto"/>
            <w:noWrap/>
          </w:tcPr>
          <w:p w14:paraId="1A63FE3A" w14:textId="77777777" w:rsidR="00443A6A" w:rsidRPr="003E244D" w:rsidRDefault="00443A6A" w:rsidP="0012301B">
            <w:pPr>
              <w:pStyle w:val="TAR"/>
            </w:pPr>
            <w:r w:rsidRPr="003E244D">
              <w:t>4x1</w:t>
            </w:r>
          </w:p>
        </w:tc>
        <w:tc>
          <w:tcPr>
            <w:tcW w:w="4590" w:type="dxa"/>
          </w:tcPr>
          <w:p w14:paraId="091CC872" w14:textId="77777777" w:rsidR="00443A6A" w:rsidRPr="0012301B" w:rsidRDefault="00443A6A" w:rsidP="0012301B">
            <w:pPr>
              <w:pStyle w:val="TAR"/>
            </w:pPr>
            <w:r w:rsidRPr="0012301B">
              <w:t>Assuming 2 panels (front &amp; back placement)</w:t>
            </w:r>
          </w:p>
        </w:tc>
      </w:tr>
      <w:tr w:rsidR="00443A6A" w:rsidRPr="003E244D" w14:paraId="28AEFBC9" w14:textId="77777777" w:rsidTr="003811A1">
        <w:trPr>
          <w:trHeight w:val="20"/>
          <w:jc w:val="center"/>
        </w:trPr>
        <w:tc>
          <w:tcPr>
            <w:tcW w:w="2448" w:type="dxa"/>
            <w:shd w:val="clear" w:color="auto" w:fill="auto"/>
            <w:noWrap/>
          </w:tcPr>
          <w:p w14:paraId="0172DB2D" w14:textId="77777777" w:rsidR="00443A6A" w:rsidRPr="003E244D" w:rsidRDefault="00443A6A" w:rsidP="0012301B">
            <w:pPr>
              <w:pStyle w:val="TAL"/>
            </w:pPr>
            <w:r w:rsidRPr="003E244D">
              <w:t>Element spacing</w:t>
            </w:r>
          </w:p>
        </w:tc>
        <w:tc>
          <w:tcPr>
            <w:tcW w:w="2880" w:type="dxa"/>
            <w:shd w:val="clear" w:color="auto" w:fill="auto"/>
            <w:noWrap/>
          </w:tcPr>
          <w:p w14:paraId="2E4EF13D" w14:textId="77777777" w:rsidR="00443A6A" w:rsidRPr="003E244D" w:rsidRDefault="00443A6A" w:rsidP="0012301B">
            <w:pPr>
              <w:pStyle w:val="TAR"/>
            </w:pPr>
            <w:r w:rsidRPr="003E244D">
              <w:t>5mm</w:t>
            </w:r>
          </w:p>
        </w:tc>
        <w:tc>
          <w:tcPr>
            <w:tcW w:w="4590" w:type="dxa"/>
          </w:tcPr>
          <w:p w14:paraId="25898B3A" w14:textId="77777777" w:rsidR="00443A6A" w:rsidRPr="0012301B" w:rsidRDefault="00443A6A" w:rsidP="0012301B">
            <w:pPr>
              <w:pStyle w:val="TAR"/>
            </w:pPr>
            <w:r w:rsidRPr="0012301B">
              <w:t>Value is implementation specific but represents the worst case for beam angle</w:t>
            </w:r>
          </w:p>
        </w:tc>
      </w:tr>
      <w:tr w:rsidR="00443A6A" w:rsidRPr="003E244D" w14:paraId="6C6AFFCC" w14:textId="77777777" w:rsidTr="003811A1">
        <w:trPr>
          <w:trHeight w:val="20"/>
          <w:jc w:val="center"/>
        </w:trPr>
        <w:tc>
          <w:tcPr>
            <w:tcW w:w="2448" w:type="dxa"/>
            <w:shd w:val="clear" w:color="auto" w:fill="auto"/>
            <w:noWrap/>
          </w:tcPr>
          <w:p w14:paraId="5BFE29B1" w14:textId="77777777" w:rsidR="00443A6A" w:rsidRPr="003E244D" w:rsidRDefault="00443A6A" w:rsidP="0012301B">
            <w:pPr>
              <w:pStyle w:val="TAL"/>
            </w:pPr>
            <w:r w:rsidRPr="003E244D">
              <w:t>Element pattern</w:t>
            </w:r>
          </w:p>
        </w:tc>
        <w:tc>
          <w:tcPr>
            <w:tcW w:w="2880" w:type="dxa"/>
            <w:shd w:val="clear" w:color="auto" w:fill="auto"/>
            <w:noWrap/>
          </w:tcPr>
          <w:p w14:paraId="4092616D" w14:textId="77777777" w:rsidR="00443A6A" w:rsidRPr="003E244D" w:rsidRDefault="00443A6A" w:rsidP="0012301B">
            <w:pPr>
              <w:pStyle w:val="TAR"/>
            </w:pPr>
            <w:r w:rsidRPr="003E244D">
              <w:t>See TR38.803</w:t>
            </w:r>
          </w:p>
        </w:tc>
        <w:tc>
          <w:tcPr>
            <w:tcW w:w="4590" w:type="dxa"/>
          </w:tcPr>
          <w:p w14:paraId="4AB066F7" w14:textId="77777777" w:rsidR="00443A6A" w:rsidRPr="0012301B" w:rsidRDefault="00443A6A" w:rsidP="0012301B">
            <w:pPr>
              <w:pStyle w:val="TAR"/>
            </w:pPr>
          </w:p>
        </w:tc>
      </w:tr>
      <w:tr w:rsidR="00443A6A" w:rsidRPr="003E244D" w14:paraId="11498486" w14:textId="77777777" w:rsidTr="003811A1">
        <w:trPr>
          <w:trHeight w:val="20"/>
          <w:jc w:val="center"/>
        </w:trPr>
        <w:tc>
          <w:tcPr>
            <w:tcW w:w="2448" w:type="dxa"/>
            <w:shd w:val="clear" w:color="auto" w:fill="auto"/>
            <w:noWrap/>
          </w:tcPr>
          <w:p w14:paraId="5FE42ECB" w14:textId="77777777" w:rsidR="00443A6A" w:rsidRPr="003E244D" w:rsidRDefault="00443A6A" w:rsidP="0012301B">
            <w:pPr>
              <w:pStyle w:val="TAL"/>
            </w:pPr>
            <w:r w:rsidRPr="003E244D">
              <w:t>Antenna impairments</w:t>
            </w:r>
          </w:p>
        </w:tc>
        <w:tc>
          <w:tcPr>
            <w:tcW w:w="2880" w:type="dxa"/>
            <w:shd w:val="clear" w:color="auto" w:fill="auto"/>
            <w:noWrap/>
          </w:tcPr>
          <w:p w14:paraId="4FE3FAFC" w14:textId="77777777" w:rsidR="00443A6A" w:rsidRPr="003E244D" w:rsidRDefault="00443A6A" w:rsidP="0012301B">
            <w:pPr>
              <w:pStyle w:val="TAR"/>
            </w:pPr>
            <w:r w:rsidRPr="003E244D">
              <w:t>Not considered</w:t>
            </w:r>
          </w:p>
        </w:tc>
        <w:tc>
          <w:tcPr>
            <w:tcW w:w="4590" w:type="dxa"/>
          </w:tcPr>
          <w:p w14:paraId="78207C32" w14:textId="77777777" w:rsidR="00443A6A" w:rsidRPr="0012301B" w:rsidRDefault="00443A6A" w:rsidP="0012301B">
            <w:pPr>
              <w:pStyle w:val="TAR"/>
            </w:pPr>
            <w:r w:rsidRPr="0012301B">
              <w:t>Antenna roll-off vs frequency was not considered in this analysis</w:t>
            </w:r>
          </w:p>
        </w:tc>
      </w:tr>
      <w:tr w:rsidR="00443A6A" w:rsidRPr="003E244D" w14:paraId="1D14C8DD" w14:textId="77777777" w:rsidTr="003811A1">
        <w:trPr>
          <w:trHeight w:val="20"/>
          <w:jc w:val="center"/>
        </w:trPr>
        <w:tc>
          <w:tcPr>
            <w:tcW w:w="2448" w:type="dxa"/>
            <w:shd w:val="clear" w:color="auto" w:fill="auto"/>
            <w:noWrap/>
          </w:tcPr>
          <w:p w14:paraId="4C6DD3FB" w14:textId="77777777" w:rsidR="00443A6A" w:rsidRPr="003E244D" w:rsidRDefault="00443A6A" w:rsidP="0012301B">
            <w:pPr>
              <w:pStyle w:val="TAL"/>
            </w:pPr>
            <w:r w:rsidRPr="003E244D">
              <w:t>Phase shifter impairments</w:t>
            </w:r>
          </w:p>
        </w:tc>
        <w:tc>
          <w:tcPr>
            <w:tcW w:w="2880" w:type="dxa"/>
            <w:shd w:val="clear" w:color="auto" w:fill="auto"/>
            <w:noWrap/>
          </w:tcPr>
          <w:p w14:paraId="2C6A3314" w14:textId="77777777" w:rsidR="00443A6A" w:rsidRPr="003E244D" w:rsidRDefault="00443A6A" w:rsidP="0012301B">
            <w:pPr>
              <w:pStyle w:val="TAR"/>
            </w:pPr>
            <w:r>
              <w:t>See TR38.817-01</w:t>
            </w:r>
          </w:p>
        </w:tc>
        <w:tc>
          <w:tcPr>
            <w:tcW w:w="4590" w:type="dxa"/>
          </w:tcPr>
          <w:p w14:paraId="01365984" w14:textId="77777777" w:rsidR="00443A6A" w:rsidRPr="0012301B" w:rsidRDefault="00443A6A" w:rsidP="0012301B">
            <w:pPr>
              <w:pStyle w:val="TAR"/>
            </w:pPr>
            <w:r w:rsidRPr="0012301B">
              <w:t>Reuse gain variation and phase variation models from the Rel-15 beam correspondence study</w:t>
            </w:r>
          </w:p>
        </w:tc>
      </w:tr>
      <w:tr w:rsidR="00443A6A" w:rsidRPr="003E244D" w14:paraId="54B0D084" w14:textId="77777777" w:rsidTr="003811A1">
        <w:trPr>
          <w:trHeight w:val="20"/>
          <w:jc w:val="center"/>
        </w:trPr>
        <w:tc>
          <w:tcPr>
            <w:tcW w:w="2448" w:type="dxa"/>
            <w:shd w:val="clear" w:color="auto" w:fill="auto"/>
            <w:noWrap/>
          </w:tcPr>
          <w:p w14:paraId="416A8AB2" w14:textId="77777777" w:rsidR="00443A6A" w:rsidRPr="003E244D" w:rsidRDefault="00443A6A" w:rsidP="0012301B">
            <w:pPr>
              <w:pStyle w:val="TAL"/>
            </w:pPr>
            <w:r w:rsidRPr="003E244D">
              <w:t>Transmission line impairments</w:t>
            </w:r>
          </w:p>
        </w:tc>
        <w:tc>
          <w:tcPr>
            <w:tcW w:w="2880" w:type="dxa"/>
            <w:shd w:val="clear" w:color="auto" w:fill="auto"/>
            <w:noWrap/>
          </w:tcPr>
          <w:p w14:paraId="2F57ADC9" w14:textId="77777777" w:rsidR="00443A6A" w:rsidRPr="003E244D" w:rsidRDefault="00443A6A" w:rsidP="0012301B">
            <w:pPr>
              <w:pStyle w:val="TAR"/>
            </w:pPr>
            <w:r>
              <w:t>Modeled TL length and loss per element</w:t>
            </w:r>
          </w:p>
        </w:tc>
        <w:tc>
          <w:tcPr>
            <w:tcW w:w="4590" w:type="dxa"/>
          </w:tcPr>
          <w:p w14:paraId="51B2D561" w14:textId="77777777" w:rsidR="00443A6A" w:rsidRPr="0012301B" w:rsidRDefault="00443A6A" w:rsidP="0012301B">
            <w:pPr>
              <w:pStyle w:val="TAR"/>
            </w:pPr>
            <w:r w:rsidRPr="0012301B">
              <w:t>Transmission line lengths per antenna element, mismatch, and loss</w:t>
            </w:r>
          </w:p>
        </w:tc>
      </w:tr>
      <w:tr w:rsidR="00224672" w:rsidRPr="003E244D" w14:paraId="169753C2" w14:textId="77777777" w:rsidTr="003811A1">
        <w:trPr>
          <w:trHeight w:val="20"/>
          <w:jc w:val="center"/>
        </w:trPr>
        <w:tc>
          <w:tcPr>
            <w:tcW w:w="2448" w:type="dxa"/>
            <w:shd w:val="clear" w:color="auto" w:fill="auto"/>
            <w:noWrap/>
          </w:tcPr>
          <w:p w14:paraId="3B11C2D3" w14:textId="35E243F8" w:rsidR="00224672" w:rsidRPr="003E244D" w:rsidRDefault="0012301B" w:rsidP="0012301B">
            <w:pPr>
              <w:pStyle w:val="TAL"/>
            </w:pPr>
            <w:r>
              <w:t>Frequency separation between carriers</w:t>
            </w:r>
          </w:p>
        </w:tc>
        <w:tc>
          <w:tcPr>
            <w:tcW w:w="2880" w:type="dxa"/>
            <w:shd w:val="clear" w:color="auto" w:fill="auto"/>
            <w:noWrap/>
          </w:tcPr>
          <w:p w14:paraId="79D8FE5C" w14:textId="77777777" w:rsidR="00224672" w:rsidRDefault="00224672" w:rsidP="0012301B">
            <w:pPr>
              <w:pStyle w:val="TAR"/>
            </w:pPr>
            <w:r>
              <w:t>Case 1: [24.25 ~ 29.5] GHz</w:t>
            </w:r>
          </w:p>
          <w:p w14:paraId="336BEBAD" w14:textId="0A1C369E" w:rsidR="00224672" w:rsidRDefault="00224672" w:rsidP="0012301B">
            <w:pPr>
              <w:pStyle w:val="TAR"/>
            </w:pPr>
            <w:r>
              <w:t>Case 2: [37.0 ~ 43.5] GHz</w:t>
            </w:r>
          </w:p>
        </w:tc>
        <w:tc>
          <w:tcPr>
            <w:tcW w:w="4590" w:type="dxa"/>
          </w:tcPr>
          <w:p w14:paraId="4E3D0937" w14:textId="76A59080" w:rsidR="00224672" w:rsidRPr="0012301B" w:rsidRDefault="00224672" w:rsidP="0012301B">
            <w:pPr>
              <w:pStyle w:val="TAR"/>
            </w:pPr>
            <w:r w:rsidRPr="0012301B">
              <w:t>Applies only to n258+n257 and n260+n259 scenarios</w:t>
            </w:r>
          </w:p>
        </w:tc>
      </w:tr>
      <w:tr w:rsidR="003811A1" w:rsidRPr="003E244D" w14:paraId="7EDA2CCF" w14:textId="77777777" w:rsidTr="003811A1">
        <w:trPr>
          <w:trHeight w:val="20"/>
          <w:jc w:val="center"/>
        </w:trPr>
        <w:tc>
          <w:tcPr>
            <w:tcW w:w="2448" w:type="dxa"/>
            <w:shd w:val="clear" w:color="auto" w:fill="auto"/>
            <w:noWrap/>
          </w:tcPr>
          <w:p w14:paraId="3C74CB94" w14:textId="26DF0A6C" w:rsidR="003811A1" w:rsidRDefault="003811A1" w:rsidP="0012301B">
            <w:pPr>
              <w:pStyle w:val="TAL"/>
            </w:pPr>
            <w:r>
              <w:t>Angular difference between 28 and 39 GHz arrays</w:t>
            </w:r>
          </w:p>
        </w:tc>
        <w:tc>
          <w:tcPr>
            <w:tcW w:w="2880" w:type="dxa"/>
            <w:shd w:val="clear" w:color="auto" w:fill="auto"/>
            <w:noWrap/>
          </w:tcPr>
          <w:p w14:paraId="67B2AFD3" w14:textId="281DDF1F" w:rsidR="003811A1" w:rsidRDefault="003811A1" w:rsidP="0012301B">
            <w:pPr>
              <w:pStyle w:val="TAR"/>
            </w:pPr>
            <w:r>
              <w:t>[0 ~ 30] deg</w:t>
            </w:r>
          </w:p>
        </w:tc>
        <w:tc>
          <w:tcPr>
            <w:tcW w:w="4590" w:type="dxa"/>
          </w:tcPr>
          <w:p w14:paraId="4D10214C" w14:textId="0ED05493" w:rsidR="003811A1" w:rsidRPr="0012301B" w:rsidRDefault="003811A1" w:rsidP="0012301B">
            <w:pPr>
              <w:pStyle w:val="TAR"/>
            </w:pPr>
            <w:r w:rsidRPr="0012301B">
              <w:t>Applies only to n258+n260 and n261+n260 scenarios</w:t>
            </w:r>
          </w:p>
        </w:tc>
      </w:tr>
      <w:tr w:rsidR="00172077" w:rsidRPr="003E244D" w14:paraId="5B6276F5" w14:textId="77777777" w:rsidTr="003811A1">
        <w:trPr>
          <w:trHeight w:val="20"/>
          <w:jc w:val="center"/>
        </w:trPr>
        <w:tc>
          <w:tcPr>
            <w:tcW w:w="2448" w:type="dxa"/>
            <w:shd w:val="clear" w:color="auto" w:fill="auto"/>
            <w:noWrap/>
          </w:tcPr>
          <w:p w14:paraId="75DCA8DF" w14:textId="6E5CAA38" w:rsidR="00172077" w:rsidRDefault="00172077" w:rsidP="0012301B">
            <w:pPr>
              <w:pStyle w:val="TAL"/>
            </w:pPr>
            <w:r>
              <w:t>Gain difference between CC1 and CC2</w:t>
            </w:r>
          </w:p>
        </w:tc>
        <w:tc>
          <w:tcPr>
            <w:tcW w:w="2880" w:type="dxa"/>
            <w:shd w:val="clear" w:color="auto" w:fill="auto"/>
            <w:noWrap/>
          </w:tcPr>
          <w:p w14:paraId="3EFF7432" w14:textId="77777777" w:rsidR="00172077" w:rsidRDefault="00172077" w:rsidP="0012301B">
            <w:pPr>
              <w:pStyle w:val="TAR"/>
            </w:pPr>
            <w:r>
              <w:t>Case 1: [0 ~ 3] dB</w:t>
            </w:r>
          </w:p>
          <w:p w14:paraId="2D476FC5" w14:textId="3F14302E" w:rsidR="00172077" w:rsidRDefault="00172077" w:rsidP="0012301B">
            <w:pPr>
              <w:pStyle w:val="TAR"/>
            </w:pPr>
            <w:r>
              <w:t>Case 2: [0 ~ 6] dB</w:t>
            </w:r>
          </w:p>
        </w:tc>
        <w:tc>
          <w:tcPr>
            <w:tcW w:w="4590" w:type="dxa"/>
          </w:tcPr>
          <w:p w14:paraId="79A07189" w14:textId="77777777" w:rsidR="00172077" w:rsidRPr="0012301B" w:rsidRDefault="00172077" w:rsidP="0012301B">
            <w:pPr>
              <w:pStyle w:val="TAR"/>
            </w:pPr>
            <w:r w:rsidRPr="0012301B">
              <w:t>Case 1 applies to n258+n257 and n260+n259 scenarios</w:t>
            </w:r>
          </w:p>
          <w:p w14:paraId="28979CAE" w14:textId="64BCF11B" w:rsidR="00172077" w:rsidRPr="0012301B" w:rsidRDefault="00172077" w:rsidP="0012301B">
            <w:pPr>
              <w:pStyle w:val="TAR"/>
            </w:pPr>
            <w:r w:rsidRPr="0012301B">
              <w:t>Case 2 applies to n258+n260 and n261+n260 scenarios</w:t>
            </w:r>
          </w:p>
        </w:tc>
      </w:tr>
    </w:tbl>
    <w:p w14:paraId="48230492" w14:textId="33496DBB" w:rsidR="004C4EE2" w:rsidRDefault="004C4EE2" w:rsidP="0090166D">
      <w:pPr>
        <w:rPr>
          <w:lang w:val="en-US"/>
        </w:rPr>
      </w:pPr>
      <w:r>
        <w:rPr>
          <w:lang w:val="en-US"/>
        </w:rPr>
        <w:t xml:space="preserve"> </w:t>
      </w:r>
    </w:p>
    <w:p w14:paraId="277C677B" w14:textId="4A14424D" w:rsidR="00953D37" w:rsidRDefault="005027A3" w:rsidP="0090166D">
      <w:pPr>
        <w:rPr>
          <w:lang w:val="en-US"/>
        </w:rPr>
      </w:pPr>
      <w:r>
        <w:rPr>
          <w:lang w:val="en-US"/>
        </w:rPr>
        <w:lastRenderedPageBreak/>
        <w:t xml:space="preserve">Given the differences in the reference architecture associated with the 28+28/39+39 </w:t>
      </w:r>
      <w:r w:rsidR="00ED70BD">
        <w:rPr>
          <w:lang w:val="en-US"/>
        </w:rPr>
        <w:t>and 28+39 CA support, the analysis of inter-band CA spherical coverage EIS also follows these tracks separately.</w:t>
      </w:r>
    </w:p>
    <w:p w14:paraId="7782F1EF" w14:textId="1FAC3131" w:rsidR="00443A6A" w:rsidRDefault="00953D37" w:rsidP="0090166D">
      <w:pPr>
        <w:rPr>
          <w:lang w:val="en-US"/>
        </w:rPr>
      </w:pPr>
      <w:r>
        <w:rPr>
          <w:lang w:val="en-US"/>
        </w:rPr>
        <w:t xml:space="preserve">In the case of 28+28 or 39+39 CA, there are two main parameters which impact the spherical coverage performance of the combined EIS CDF:  the frequency separation between the CCs and the </w:t>
      </w:r>
      <w:r w:rsidR="009A6180">
        <w:rPr>
          <w:lang w:val="en-US"/>
        </w:rPr>
        <w:t>relative gain differences between the CCs due to antenna array performance variation over the entire freequency span of the combination.</w:t>
      </w:r>
      <w:r w:rsidR="00174D15">
        <w:rPr>
          <w:lang w:val="en-US"/>
        </w:rPr>
        <w:t xml:space="preserve">  Since the architecture assumes shared antenna array and beam management chain for these combinations, no angular difference between CC1 and CC2 antenna array reception is modeled.</w:t>
      </w:r>
    </w:p>
    <w:p w14:paraId="7807AF1C" w14:textId="336A2215" w:rsidR="009A6180" w:rsidRDefault="009A6180" w:rsidP="0090166D">
      <w:pPr>
        <w:rPr>
          <w:lang w:val="en-US"/>
        </w:rPr>
      </w:pPr>
      <w:r>
        <w:rPr>
          <w:lang w:val="en-US"/>
        </w:rPr>
        <w:t xml:space="preserve">In the case of 28+39 CA, </w:t>
      </w:r>
      <w:r w:rsidR="00174D15">
        <w:rPr>
          <w:lang w:val="en-US"/>
        </w:rPr>
        <w:t>there are two main parameters which impact the spherical coverage performance of the combined EIS CDF:  the angular difference between the 28 and 39 GHz antenna arrays and the relative gain differences between the CCs due to antenna array performance difference between these frequencies (separate antenna arrays).</w:t>
      </w:r>
    </w:p>
    <w:p w14:paraId="5CB6AE02" w14:textId="45448E14" w:rsidR="005027A3" w:rsidRDefault="00594C1B" w:rsidP="0090166D">
      <w:pPr>
        <w:rPr>
          <w:lang w:val="en-US"/>
        </w:rPr>
      </w:pPr>
      <w:r>
        <w:rPr>
          <w:lang w:val="en-US"/>
        </w:rPr>
        <w:t>With the simulation assumptions in place, we proceed to define the new concept of a common CDF for inter-band CA EIS spherical coverage.  A conceptual view is provided in Figure 2 below.</w:t>
      </w:r>
    </w:p>
    <w:p w14:paraId="3F35F4EA" w14:textId="77777777" w:rsidR="00594C1B" w:rsidRDefault="00172077" w:rsidP="00594C1B">
      <w:pPr>
        <w:keepNext/>
        <w:jc w:val="center"/>
      </w:pPr>
      <w:r w:rsidRPr="00172077">
        <w:rPr>
          <w:noProof/>
          <w:lang w:val="en-US"/>
        </w:rPr>
        <w:drawing>
          <wp:inline distT="0" distB="0" distL="0" distR="0" wp14:anchorId="7E893F4F" wp14:editId="6592C51D">
            <wp:extent cx="3200400" cy="34065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00400" cy="3406546"/>
                    </a:xfrm>
                    <a:prstGeom prst="rect">
                      <a:avLst/>
                    </a:prstGeom>
                  </pic:spPr>
                </pic:pic>
              </a:graphicData>
            </a:graphic>
          </wp:inline>
        </w:drawing>
      </w:r>
    </w:p>
    <w:p w14:paraId="7AB03457" w14:textId="641F3FFE" w:rsidR="00172077" w:rsidRDefault="00594C1B" w:rsidP="00594C1B">
      <w:pPr>
        <w:pStyle w:val="Caption"/>
        <w:jc w:val="center"/>
        <w:rPr>
          <w:lang w:val="en-US"/>
        </w:rPr>
      </w:pPr>
      <w:r>
        <w:t xml:space="preserve">Figure </w:t>
      </w:r>
      <w:r w:rsidR="003F6907">
        <w:fldChar w:fldCharType="begin"/>
      </w:r>
      <w:r w:rsidR="003F6907">
        <w:instrText xml:space="preserve"> SEQ Figure \* ARABIC </w:instrText>
      </w:r>
      <w:r w:rsidR="003F6907">
        <w:fldChar w:fldCharType="separate"/>
      </w:r>
      <w:r w:rsidR="00AC5544">
        <w:rPr>
          <w:noProof/>
        </w:rPr>
        <w:t>2</w:t>
      </w:r>
      <w:r w:rsidR="003F6907">
        <w:rPr>
          <w:noProof/>
        </w:rPr>
        <w:fldChar w:fldCharType="end"/>
      </w:r>
      <w:r>
        <w:t>: Visualizing the common CDF for inter-band CA EIS spherical coverage</w:t>
      </w:r>
    </w:p>
    <w:p w14:paraId="6DBE10B7" w14:textId="446D0B44" w:rsidR="00172077" w:rsidRDefault="00C85200" w:rsidP="0090166D">
      <w:pPr>
        <w:rPr>
          <w:lang w:val="en-US"/>
        </w:rPr>
      </w:pPr>
      <w:r>
        <w:rPr>
          <w:lang w:val="en-US"/>
        </w:rPr>
        <w:t>Given two spherical coverage patterns for CC1 and CC2</w:t>
      </w:r>
      <w:r w:rsidR="00E8554D">
        <w:rPr>
          <w:lang w:val="en-US"/>
        </w:rPr>
        <w:t>, which can be EIS measurements of the DUT at CC1 and CC2 over the entire sphere, the current version of the specification defines a requirement on the 50</w:t>
      </w:r>
      <w:r w:rsidR="00E8554D" w:rsidRPr="00E8554D">
        <w:rPr>
          <w:vertAlign w:val="superscript"/>
          <w:lang w:val="en-US"/>
        </w:rPr>
        <w:t>th</w:t>
      </w:r>
      <w:r w:rsidR="00E8554D">
        <w:rPr>
          <w:lang w:val="en-US"/>
        </w:rPr>
        <w:t xml:space="preserve"> percentile values for CC1 and CC2 spherical coverage.  These CDFs are formed by estimating the </w:t>
      </w:r>
      <w:r w:rsidR="00183617">
        <w:rPr>
          <w:lang w:val="en-US"/>
        </w:rPr>
        <w:t>cumulate distribution</w:t>
      </w:r>
      <w:r w:rsidR="00E8554D">
        <w:rPr>
          <w:lang w:val="en-US"/>
        </w:rPr>
        <w:t xml:space="preserve"> functions P(X</w:t>
      </w:r>
      <w:r w:rsidR="00E8554D" w:rsidRPr="00E8554D">
        <w:rPr>
          <w:vertAlign w:val="subscript"/>
          <w:lang w:val="en-US"/>
        </w:rPr>
        <w:t>CC1</w:t>
      </w:r>
      <w:r w:rsidR="00E8554D">
        <w:rPr>
          <w:lang w:val="en-US"/>
        </w:rPr>
        <w:t>≤x</w:t>
      </w:r>
      <w:r w:rsidR="00E8554D" w:rsidRPr="00E8554D">
        <w:rPr>
          <w:vertAlign w:val="subscript"/>
          <w:lang w:val="en-US"/>
        </w:rPr>
        <w:t>1</w:t>
      </w:r>
      <w:r w:rsidR="00E8554D">
        <w:rPr>
          <w:lang w:val="en-US"/>
        </w:rPr>
        <w:t>) and P(X</w:t>
      </w:r>
      <w:r w:rsidR="00E8554D" w:rsidRPr="00E8554D">
        <w:rPr>
          <w:vertAlign w:val="subscript"/>
          <w:lang w:val="en-US"/>
        </w:rPr>
        <w:t>CC2</w:t>
      </w:r>
      <w:r w:rsidR="00E8554D">
        <w:rPr>
          <w:lang w:val="en-US"/>
        </w:rPr>
        <w:t>≤x</w:t>
      </w:r>
      <w:r w:rsidR="00E8554D" w:rsidRPr="00E8554D">
        <w:rPr>
          <w:vertAlign w:val="subscript"/>
          <w:lang w:val="en-US"/>
        </w:rPr>
        <w:t>2</w:t>
      </w:r>
      <w:r w:rsidR="00E8554D">
        <w:rPr>
          <w:lang w:val="en-US"/>
        </w:rPr>
        <w:t>), respectively.</w:t>
      </w:r>
      <w:r w:rsidR="00183617">
        <w:rPr>
          <w:lang w:val="en-US"/>
        </w:rPr>
        <w:t xml:space="preserve">  The problem of defining a requirement on the common CDF can be viewed in terms of the joint cumulative distribution function of two variables:  P(X</w:t>
      </w:r>
      <w:r w:rsidR="00183617" w:rsidRPr="00E8554D">
        <w:rPr>
          <w:vertAlign w:val="subscript"/>
          <w:lang w:val="en-US"/>
        </w:rPr>
        <w:t>CC1</w:t>
      </w:r>
      <w:r w:rsidR="00183617">
        <w:rPr>
          <w:lang w:val="en-US"/>
        </w:rPr>
        <w:t>≤x</w:t>
      </w:r>
      <w:r w:rsidR="00183617" w:rsidRPr="00E8554D">
        <w:rPr>
          <w:vertAlign w:val="subscript"/>
          <w:lang w:val="en-US"/>
        </w:rPr>
        <w:t>1</w:t>
      </w:r>
      <w:r w:rsidR="00183617">
        <w:rPr>
          <w:lang w:val="en-US"/>
        </w:rPr>
        <w:t>, X</w:t>
      </w:r>
      <w:r w:rsidR="00183617" w:rsidRPr="00E8554D">
        <w:rPr>
          <w:vertAlign w:val="subscript"/>
          <w:lang w:val="en-US"/>
        </w:rPr>
        <w:t>CC2</w:t>
      </w:r>
      <w:r w:rsidR="00183617">
        <w:rPr>
          <w:lang w:val="en-US"/>
        </w:rPr>
        <w:t>≤x</w:t>
      </w:r>
      <w:r w:rsidR="00183617" w:rsidRPr="00E8554D">
        <w:rPr>
          <w:vertAlign w:val="subscript"/>
          <w:lang w:val="en-US"/>
        </w:rPr>
        <w:t>2</w:t>
      </w:r>
      <w:r w:rsidR="00183617">
        <w:rPr>
          <w:lang w:val="en-US"/>
        </w:rPr>
        <w:t>).  In this case we are only interested in the probability of both CC1 and CC2 being less than or equal to a particular gain value x, which simplifies the joint CDF surface just to the x1=x2 case:  P(X</w:t>
      </w:r>
      <w:r w:rsidR="00183617" w:rsidRPr="00E8554D">
        <w:rPr>
          <w:vertAlign w:val="subscript"/>
          <w:lang w:val="en-US"/>
        </w:rPr>
        <w:t>CC1</w:t>
      </w:r>
      <w:r w:rsidR="00183617">
        <w:rPr>
          <w:lang w:val="en-US"/>
        </w:rPr>
        <w:t>≤x, X</w:t>
      </w:r>
      <w:r w:rsidR="00183617" w:rsidRPr="00E8554D">
        <w:rPr>
          <w:vertAlign w:val="subscript"/>
          <w:lang w:val="en-US"/>
        </w:rPr>
        <w:t>CC2</w:t>
      </w:r>
      <w:r w:rsidR="00183617">
        <w:rPr>
          <w:lang w:val="en-US"/>
        </w:rPr>
        <w:t>≤x).  Figure 2 above illustrates this step.</w:t>
      </w:r>
    </w:p>
    <w:p w14:paraId="26560A5E" w14:textId="166858A4" w:rsidR="00C55311" w:rsidRDefault="00C55311" w:rsidP="0090166D">
      <w:pPr>
        <w:rPr>
          <w:lang w:val="en-US"/>
        </w:rPr>
      </w:pPr>
      <w:r>
        <w:rPr>
          <w:lang w:val="en-US"/>
        </w:rPr>
        <w:t>We can propose the following definition of the common spherical coverage CDF for inter-band CA in FR2:</w:t>
      </w:r>
    </w:p>
    <w:p w14:paraId="67305656" w14:textId="175C1E31" w:rsidR="00C55311" w:rsidRDefault="00C55311" w:rsidP="00C55311">
      <w:pPr>
        <w:pStyle w:val="Proposal"/>
        <w:rPr>
          <w:lang w:val="en-US"/>
        </w:rPr>
      </w:pPr>
      <w:bookmarkStart w:id="16" w:name="_Toc32363295"/>
      <w:bookmarkStart w:id="17" w:name="_Toc32363725"/>
      <w:bookmarkStart w:id="18" w:name="_Toc32551538"/>
      <w:r w:rsidRPr="00B67FC6">
        <w:rPr>
          <w:lang w:val="en-US"/>
        </w:rPr>
        <w:t xml:space="preserve">Proposal </w:t>
      </w:r>
      <w:r w:rsidR="00876D37">
        <w:rPr>
          <w:lang w:val="en-US"/>
        </w:rPr>
        <w:t>4</w:t>
      </w:r>
      <w:r w:rsidRPr="00B67FC6">
        <w:rPr>
          <w:lang w:val="en-US"/>
        </w:rPr>
        <w:t>:</w:t>
      </w:r>
      <w:r w:rsidRPr="00B67FC6">
        <w:rPr>
          <w:lang w:val="en-US"/>
        </w:rPr>
        <w:tab/>
      </w:r>
      <w:r w:rsidRPr="00C55311">
        <w:rPr>
          <w:lang w:val="en-US"/>
        </w:rPr>
        <w:t>The common spherical coverage CDF is computed using the joint criterion of {EIS</w:t>
      </w:r>
      <w:r w:rsidRPr="00C55311">
        <w:rPr>
          <w:vertAlign w:val="subscript"/>
          <w:lang w:val="en-US"/>
        </w:rPr>
        <w:t>1</w:t>
      </w:r>
      <w:r w:rsidRPr="00C55311">
        <w:rPr>
          <w:lang w:val="en-US"/>
        </w:rPr>
        <w:t>≤s and EIS</w:t>
      </w:r>
      <w:r w:rsidRPr="00C55311">
        <w:rPr>
          <w:vertAlign w:val="subscript"/>
          <w:lang w:val="en-US"/>
        </w:rPr>
        <w:t>2</w:t>
      </w:r>
      <w:r w:rsidRPr="00C55311">
        <w:rPr>
          <w:lang w:val="en-US"/>
        </w:rPr>
        <w:t>≤s}, such that the resulting function of signal level s is equivalent to the diagonal of the joint empirical CDF P(EIS</w:t>
      </w:r>
      <w:r w:rsidRPr="00C55311">
        <w:rPr>
          <w:vertAlign w:val="subscript"/>
          <w:lang w:val="en-US"/>
        </w:rPr>
        <w:t>1</w:t>
      </w:r>
      <w:r w:rsidRPr="00C55311">
        <w:rPr>
          <w:lang w:val="en-US"/>
        </w:rPr>
        <w:t>≤s</w:t>
      </w:r>
      <w:r w:rsidRPr="00C55311">
        <w:rPr>
          <w:vertAlign w:val="subscript"/>
          <w:lang w:val="en-US"/>
        </w:rPr>
        <w:t>1</w:t>
      </w:r>
      <w:r w:rsidRPr="00C55311">
        <w:rPr>
          <w:lang w:val="en-US"/>
        </w:rPr>
        <w:t>,EIS</w:t>
      </w:r>
      <w:r w:rsidRPr="00C55311">
        <w:rPr>
          <w:vertAlign w:val="subscript"/>
          <w:lang w:val="en-US"/>
        </w:rPr>
        <w:t>2</w:t>
      </w:r>
      <w:r w:rsidRPr="00C55311">
        <w:rPr>
          <w:lang w:val="en-US"/>
        </w:rPr>
        <w:t>≤s</w:t>
      </w:r>
      <w:r w:rsidRPr="00C55311">
        <w:rPr>
          <w:vertAlign w:val="subscript"/>
          <w:lang w:val="en-US"/>
        </w:rPr>
        <w:t>2</w:t>
      </w:r>
      <w:r w:rsidRPr="00C55311">
        <w:rPr>
          <w:lang w:val="en-US"/>
        </w:rPr>
        <w:t>)</w:t>
      </w:r>
      <w:bookmarkEnd w:id="16"/>
      <w:bookmarkEnd w:id="17"/>
      <w:bookmarkEnd w:id="18"/>
    </w:p>
    <w:p w14:paraId="44FEF223" w14:textId="6075F410" w:rsidR="00BE41F7" w:rsidRPr="002F14F1" w:rsidRDefault="00BE41F7" w:rsidP="00BE41F7">
      <w:pPr>
        <w:pStyle w:val="Observation"/>
      </w:pPr>
      <w:bookmarkStart w:id="19" w:name="_Toc32363289"/>
      <w:bookmarkStart w:id="20" w:name="_Toc32363719"/>
      <w:bookmarkStart w:id="21" w:name="_Toc32551532"/>
      <w:r>
        <w:t>Observation 1:</w:t>
      </w:r>
      <w:r>
        <w:tab/>
      </w:r>
      <w:r w:rsidRPr="00BE41F7">
        <w:t xml:space="preserve">A requirement on the value at the 50th percentile of this </w:t>
      </w:r>
      <w:r>
        <w:t xml:space="preserve">common </w:t>
      </w:r>
      <w:r w:rsidRPr="00BE41F7">
        <w:t xml:space="preserve">CDF can be </w:t>
      </w:r>
      <w:r>
        <w:t>derived</w:t>
      </w:r>
      <w:r w:rsidRPr="00BE41F7">
        <w:t xml:space="preserve"> in terms of the degradation relative to the strongest CC</w:t>
      </w:r>
      <w:r>
        <w:t xml:space="preserve"> and defined in the specification as an absolute value.</w:t>
      </w:r>
      <w:bookmarkEnd w:id="19"/>
      <w:bookmarkEnd w:id="20"/>
      <w:bookmarkEnd w:id="21"/>
      <w:r>
        <w:t xml:space="preserve"> </w:t>
      </w:r>
    </w:p>
    <w:p w14:paraId="5D8B3C76" w14:textId="341873B0" w:rsidR="00183617" w:rsidRDefault="00E46A0A" w:rsidP="0090166D">
      <w:pPr>
        <w:rPr>
          <w:lang w:val="en-US"/>
        </w:rPr>
      </w:pPr>
      <w:r>
        <w:rPr>
          <w:lang w:val="en-US"/>
        </w:rPr>
        <w:t>Based on the simulation assumptions in Table 1, we simulated the gain difference between the 50%-tile of the CC1 CDF and the 50%-tile of the common CDF for the 28+28 (Figure 3, left) and 39+39 (Figure 3, right) band groups.</w:t>
      </w:r>
    </w:p>
    <w:p w14:paraId="05946626" w14:textId="77777777" w:rsidR="00E46A0A" w:rsidRDefault="00172077" w:rsidP="00E46A0A">
      <w:pPr>
        <w:keepNext/>
        <w:jc w:val="center"/>
      </w:pPr>
      <w:r w:rsidRPr="00172077">
        <w:rPr>
          <w:noProof/>
          <w:lang w:val="en-US"/>
        </w:rPr>
        <w:lastRenderedPageBreak/>
        <w:drawing>
          <wp:inline distT="0" distB="0" distL="0" distR="0" wp14:anchorId="325558EE" wp14:editId="28EEE628">
            <wp:extent cx="6122035" cy="26663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666365"/>
                    </a:xfrm>
                    <a:prstGeom prst="rect">
                      <a:avLst/>
                    </a:prstGeom>
                  </pic:spPr>
                </pic:pic>
              </a:graphicData>
            </a:graphic>
          </wp:inline>
        </w:drawing>
      </w:r>
    </w:p>
    <w:p w14:paraId="02B02B1F" w14:textId="6C17796C" w:rsidR="00172077" w:rsidRPr="00E46A0A" w:rsidRDefault="00E46A0A" w:rsidP="00E46A0A">
      <w:pPr>
        <w:pStyle w:val="Caption"/>
        <w:jc w:val="center"/>
      </w:pPr>
      <w:r>
        <w:t xml:space="preserve">Figure </w:t>
      </w:r>
      <w:r w:rsidR="003F6907">
        <w:fldChar w:fldCharType="begin"/>
      </w:r>
      <w:r w:rsidR="003F6907">
        <w:instrText xml:space="preserve"> SEQ Figure \* ARABIC </w:instrText>
      </w:r>
      <w:r w:rsidR="003F6907">
        <w:fldChar w:fldCharType="separate"/>
      </w:r>
      <w:r w:rsidR="00AC5544">
        <w:rPr>
          <w:noProof/>
        </w:rPr>
        <w:t>3</w:t>
      </w:r>
      <w:r w:rsidR="003F6907">
        <w:rPr>
          <w:noProof/>
        </w:rPr>
        <w:fldChar w:fldCharType="end"/>
      </w:r>
      <w:r>
        <w:t>: Gain difference between the 50</w:t>
      </w:r>
      <w:r>
        <w:rPr>
          <w:vertAlign w:val="superscript"/>
        </w:rPr>
        <w:t xml:space="preserve">th </w:t>
      </w:r>
      <w:r>
        <w:t>percentile of CC1 CDF and common CDF for 28+28 and 39+39 band groups</w:t>
      </w:r>
    </w:p>
    <w:p w14:paraId="5088E47F" w14:textId="1E9B7F44" w:rsidR="00E46A0A" w:rsidRPr="006945F0" w:rsidRDefault="00E46A0A" w:rsidP="006945F0">
      <w:pPr>
        <w:pStyle w:val="Observation"/>
      </w:pPr>
      <w:bookmarkStart w:id="22" w:name="_Toc32363290"/>
      <w:bookmarkStart w:id="23" w:name="_Toc32363720"/>
      <w:bookmarkStart w:id="24" w:name="_Toc32551533"/>
      <w:r>
        <w:t>Observation 2:</w:t>
      </w:r>
      <w:r>
        <w:tab/>
        <w:t>The value of the 50%-tile of the common CDF for 28+28 and 39+39 band groups is degraded by up to 6 dB relative to the strongest carrier in the combination.</w:t>
      </w:r>
      <w:bookmarkEnd w:id="22"/>
      <w:bookmarkEnd w:id="23"/>
      <w:bookmarkEnd w:id="24"/>
    </w:p>
    <w:p w14:paraId="2C02FA76" w14:textId="7908F963" w:rsidR="00172077" w:rsidRDefault="006945F0" w:rsidP="00AC5544">
      <w:pPr>
        <w:spacing w:after="0"/>
        <w:rPr>
          <w:lang w:val="en-US"/>
        </w:rPr>
      </w:pPr>
      <w:r>
        <w:rPr>
          <w:lang w:val="en-US"/>
        </w:rPr>
        <w:t>Based on the simulation assumptions in Table 1, we simulated the gain difference between the 50%-tile of the CC1 CDF and the 50%-tile of the common CDF for the 28+39 grouping considering two scenarios:  CC1 at 27 GHz, CC2 at 40 GHz (Figure 4, left) and CC1 at 24 GHz, CC2 at 43 GHz (Figure 4, right).</w:t>
      </w:r>
    </w:p>
    <w:p w14:paraId="68544B51" w14:textId="77777777" w:rsidR="00464AA2" w:rsidRDefault="00464AA2" w:rsidP="00AC5544">
      <w:pPr>
        <w:spacing w:after="0"/>
        <w:rPr>
          <w:lang w:val="en-US"/>
        </w:rPr>
      </w:pPr>
      <w:bookmarkStart w:id="25" w:name="_GoBack"/>
      <w:bookmarkEnd w:id="25"/>
    </w:p>
    <w:p w14:paraId="0DDCE0AC" w14:textId="77777777" w:rsidR="006945F0" w:rsidRDefault="00B66028" w:rsidP="006945F0">
      <w:pPr>
        <w:keepNext/>
        <w:jc w:val="center"/>
      </w:pPr>
      <w:r w:rsidRPr="00B66028">
        <w:rPr>
          <w:noProof/>
          <w:lang w:val="en-US"/>
        </w:rPr>
        <w:drawing>
          <wp:inline distT="0" distB="0" distL="0" distR="0" wp14:anchorId="27965A4D" wp14:editId="5692BE81">
            <wp:extent cx="6122035" cy="28003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800350"/>
                    </a:xfrm>
                    <a:prstGeom prst="rect">
                      <a:avLst/>
                    </a:prstGeom>
                  </pic:spPr>
                </pic:pic>
              </a:graphicData>
            </a:graphic>
          </wp:inline>
        </w:drawing>
      </w:r>
    </w:p>
    <w:p w14:paraId="5D2D3B2F" w14:textId="62F4232B" w:rsidR="00172077" w:rsidRDefault="006945F0" w:rsidP="006945F0">
      <w:pPr>
        <w:pStyle w:val="Caption"/>
        <w:jc w:val="center"/>
        <w:rPr>
          <w:lang w:val="en-US"/>
        </w:rPr>
      </w:pPr>
      <w:r>
        <w:t xml:space="preserve">Figure </w:t>
      </w:r>
      <w:r w:rsidR="003F6907">
        <w:fldChar w:fldCharType="begin"/>
      </w:r>
      <w:r w:rsidR="003F6907">
        <w:instrText xml:space="preserve"> SEQ Figure \* ARABIC </w:instrText>
      </w:r>
      <w:r w:rsidR="003F6907">
        <w:fldChar w:fldCharType="separate"/>
      </w:r>
      <w:r w:rsidR="00AC5544">
        <w:rPr>
          <w:noProof/>
        </w:rPr>
        <w:t>4</w:t>
      </w:r>
      <w:r w:rsidR="003F6907">
        <w:rPr>
          <w:noProof/>
        </w:rPr>
        <w:fldChar w:fldCharType="end"/>
      </w:r>
      <w:r>
        <w:t>: Gain difference between the 50</w:t>
      </w:r>
      <w:r>
        <w:rPr>
          <w:vertAlign w:val="superscript"/>
        </w:rPr>
        <w:t xml:space="preserve">th </w:t>
      </w:r>
      <w:r>
        <w:t>percentile of CC1 CDF and common CDF for 28+28 and 39+39 band groups</w:t>
      </w:r>
    </w:p>
    <w:p w14:paraId="5256CCF4" w14:textId="10866183" w:rsidR="002F14F1" w:rsidRPr="002F14F1" w:rsidRDefault="002F14F1" w:rsidP="002F14F1">
      <w:pPr>
        <w:pStyle w:val="Observation"/>
      </w:pPr>
      <w:bookmarkStart w:id="26" w:name="_Toc26697054"/>
      <w:bookmarkStart w:id="27" w:name="_Toc26697120"/>
      <w:bookmarkStart w:id="28" w:name="_Toc27554578"/>
      <w:bookmarkStart w:id="29" w:name="_Toc27554653"/>
      <w:bookmarkStart w:id="30" w:name="_Toc27554676"/>
      <w:bookmarkStart w:id="31" w:name="_Toc27554718"/>
      <w:bookmarkStart w:id="32" w:name="_Toc31951424"/>
      <w:bookmarkStart w:id="33" w:name="_Toc32359918"/>
      <w:bookmarkStart w:id="34" w:name="_Toc32363291"/>
      <w:bookmarkStart w:id="35" w:name="_Toc32363721"/>
      <w:bookmarkStart w:id="36" w:name="_Toc32551534"/>
      <w:r>
        <w:t xml:space="preserve">Observation </w:t>
      </w:r>
      <w:r w:rsidR="006945F0">
        <w:t>3</w:t>
      </w:r>
      <w:r>
        <w:t>:</w:t>
      </w:r>
      <w:r>
        <w:tab/>
      </w:r>
      <w:r w:rsidR="006945F0">
        <w:t>The value of the 50%-tile of the common CDF for 28+39 band groups is degraded by up to 7.5 dB relative to the strongest carrier in the combination.</w:t>
      </w:r>
      <w:r>
        <w:t>.</w:t>
      </w:r>
      <w:bookmarkEnd w:id="26"/>
      <w:bookmarkEnd w:id="27"/>
      <w:bookmarkEnd w:id="28"/>
      <w:bookmarkEnd w:id="29"/>
      <w:bookmarkEnd w:id="30"/>
      <w:bookmarkEnd w:id="31"/>
      <w:bookmarkEnd w:id="32"/>
      <w:bookmarkEnd w:id="33"/>
      <w:bookmarkEnd w:id="34"/>
      <w:bookmarkEnd w:id="35"/>
      <w:bookmarkEnd w:id="36"/>
      <w:r>
        <w:t xml:space="preserve"> </w:t>
      </w:r>
    </w:p>
    <w:p w14:paraId="5E175B17" w14:textId="51036F9F" w:rsidR="002F14F1" w:rsidRDefault="00247BBA" w:rsidP="0090166D">
      <w:pPr>
        <w:rPr>
          <w:lang w:val="en-US"/>
        </w:rPr>
      </w:pPr>
      <w:r>
        <w:rPr>
          <w:lang w:val="en-US"/>
        </w:rPr>
        <w:t xml:space="preserve">Overall, the preliminary study of the common CDF concept shows that it is more useful when applied to CA combinations where common beam management is an assumption of the UE design.  </w:t>
      </w:r>
      <w:r w:rsidR="00F36FEB">
        <w:rPr>
          <w:lang w:val="en-US"/>
        </w:rPr>
        <w:t xml:space="preserve">For example, further discussions on assumptions related to modeling wideband beam degradation can help to converge on a common CDF value that is both practical and useful from a network performance perspective.  </w:t>
      </w:r>
      <w:r>
        <w:rPr>
          <w:lang w:val="en-US"/>
        </w:rPr>
        <w:t>In the case of 28+39 band groups, the value of the new requirement is not readily obvious</w:t>
      </w:r>
      <w:r w:rsidR="00F36FEB">
        <w:rPr>
          <w:lang w:val="en-US"/>
        </w:rPr>
        <w:t>, since the UE is not expected to form a common beam in the same direction across the entire CA combination.</w:t>
      </w:r>
    </w:p>
    <w:p w14:paraId="0BDE09D2" w14:textId="45731B72" w:rsidR="00255AE9" w:rsidRPr="00B67FC6" w:rsidRDefault="00255AE9" w:rsidP="00255AE9">
      <w:pPr>
        <w:pStyle w:val="Proposal"/>
        <w:rPr>
          <w:lang w:val="en-US"/>
        </w:rPr>
      </w:pPr>
      <w:bookmarkStart w:id="37" w:name="_Toc32363726"/>
      <w:bookmarkStart w:id="38" w:name="_Toc32551539"/>
      <w:r w:rsidRPr="00B67FC6">
        <w:rPr>
          <w:lang w:val="en-US"/>
        </w:rPr>
        <w:t xml:space="preserve">Proposal </w:t>
      </w:r>
      <w:r>
        <w:rPr>
          <w:lang w:val="en-US"/>
        </w:rPr>
        <w:t>5</w:t>
      </w:r>
      <w:r w:rsidRPr="00B67FC6">
        <w:rPr>
          <w:lang w:val="en-US"/>
        </w:rPr>
        <w:t>:</w:t>
      </w:r>
      <w:r w:rsidRPr="00B67FC6">
        <w:rPr>
          <w:lang w:val="en-US"/>
        </w:rPr>
        <w:tab/>
      </w:r>
      <w:r>
        <w:rPr>
          <w:lang w:val="en-US"/>
        </w:rPr>
        <w:t>RAN4 continues to study further the common CDF definition and parameters for CA within 28+28/39+39 band groups and does not pursue the common CDF for CA within 28+39 band groups.</w:t>
      </w:r>
      <w:bookmarkEnd w:id="37"/>
      <w:bookmarkEnd w:id="38"/>
    </w:p>
    <w:p w14:paraId="34C99636" w14:textId="26B97152" w:rsidR="008E7986" w:rsidRPr="00B67FC6" w:rsidRDefault="008E7986" w:rsidP="008E7986">
      <w:pPr>
        <w:pStyle w:val="Heading1"/>
        <w:rPr>
          <w:lang w:val="en-US"/>
        </w:rPr>
      </w:pPr>
      <w:r w:rsidRPr="00B67FC6">
        <w:rPr>
          <w:lang w:val="en-US"/>
        </w:rPr>
        <w:lastRenderedPageBreak/>
        <w:t>3</w:t>
      </w:r>
      <w:r w:rsidRPr="00B67FC6">
        <w:rPr>
          <w:lang w:val="en-US"/>
        </w:rPr>
        <w:tab/>
        <w:t>Conclusions</w:t>
      </w:r>
    </w:p>
    <w:p w14:paraId="463B82DB" w14:textId="3D761F4E" w:rsidR="00E72ABE" w:rsidRDefault="006C3B9C" w:rsidP="00E72324">
      <w:pPr>
        <w:rPr>
          <w:lang w:val="en-US"/>
        </w:rPr>
      </w:pPr>
      <w:r w:rsidRPr="00B67FC6">
        <w:rPr>
          <w:lang w:val="en-US"/>
        </w:rPr>
        <w:t xml:space="preserve">This contribution has provided our views on the topic of FR2 </w:t>
      </w:r>
      <w:r w:rsidR="00B04359" w:rsidRPr="00B67FC6">
        <w:rPr>
          <w:lang w:val="en-US"/>
        </w:rPr>
        <w:t>frequency separation class</w:t>
      </w:r>
      <w:r w:rsidRPr="00B67FC6">
        <w:rPr>
          <w:lang w:val="en-US"/>
        </w:rPr>
        <w:t xml:space="preserve"> and has made the following </w:t>
      </w:r>
      <w:r w:rsidR="00342A3F">
        <w:rPr>
          <w:lang w:val="en-US"/>
        </w:rPr>
        <w:t xml:space="preserve">observations </w:t>
      </w:r>
      <w:r w:rsidR="001B4767">
        <w:rPr>
          <w:lang w:val="en-US"/>
        </w:rPr>
        <w:t>and proposal</w:t>
      </w:r>
      <w:r w:rsidR="00342A3F">
        <w:rPr>
          <w:lang w:val="en-US"/>
        </w:rPr>
        <w:t>s</w:t>
      </w:r>
      <w:r w:rsidRPr="00B67FC6">
        <w:rPr>
          <w:lang w:val="en-US"/>
        </w:rPr>
        <w:t>:</w:t>
      </w:r>
    </w:p>
    <w:p w14:paraId="38AD816A" w14:textId="77777777" w:rsidR="00AC5544" w:rsidRDefault="00342A3F">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AC5544">
        <w:rPr>
          <w:noProof/>
        </w:rPr>
        <w:t>Observation 1:</w:t>
      </w:r>
      <w:r w:rsidR="00AC5544">
        <w:rPr>
          <w:rFonts w:asciiTheme="minorHAnsi" w:eastAsiaTheme="minorEastAsia" w:hAnsiTheme="minorHAnsi" w:cstheme="minorBidi"/>
          <w:b w:val="0"/>
          <w:bCs w:val="0"/>
          <w:noProof/>
          <w:sz w:val="24"/>
          <w:szCs w:val="24"/>
          <w:lang w:val="en-US"/>
        </w:rPr>
        <w:tab/>
      </w:r>
      <w:r w:rsidR="00AC5544">
        <w:rPr>
          <w:noProof/>
        </w:rPr>
        <w:t>A requirement on the value at the 50th percentile of this common CDF can be derived in terms of the degradation relative to the strongest CC and defined in the specification as an absolute value.</w:t>
      </w:r>
    </w:p>
    <w:p w14:paraId="734A8C15" w14:textId="77777777" w:rsidR="00AC5544" w:rsidRDefault="00AC5544">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The value of the 50%-tile of the common CDF for 28+28 and 39+39 band groups is degraded by up to 6 dB relative to the strongest carrier in the combination.</w:t>
      </w:r>
    </w:p>
    <w:p w14:paraId="0DECF3E6" w14:textId="77777777" w:rsidR="00AC5544" w:rsidRDefault="00AC5544">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The value of the 50%-tile of the common CDF for 28+39 band groups is degraded by up to 7.5 dB relative to the strongest carrier in the combination..</w:t>
      </w:r>
    </w:p>
    <w:p w14:paraId="779BDABC" w14:textId="25794735" w:rsidR="00342A3F" w:rsidRPr="00342A3F" w:rsidRDefault="00342A3F" w:rsidP="00E72324">
      <w:r>
        <w:rPr>
          <w:rFonts w:asciiTheme="minorHAnsi" w:hAnsiTheme="minorHAnsi"/>
          <w:bCs/>
        </w:rPr>
        <w:fldChar w:fldCharType="end"/>
      </w:r>
    </w:p>
    <w:p w14:paraId="1B148CDB" w14:textId="77777777" w:rsidR="00AC5544" w:rsidRDefault="0062595A">
      <w:pPr>
        <w:pStyle w:val="TOC1"/>
        <w:rPr>
          <w:rFonts w:asciiTheme="minorHAnsi" w:eastAsiaTheme="minorEastAsia" w:hAnsiTheme="minorHAnsi" w:cstheme="minorBidi"/>
          <w:b w:val="0"/>
          <w:bCs w:val="0"/>
          <w:noProof/>
          <w:sz w:val="24"/>
          <w:szCs w:val="24"/>
          <w:lang w:val="en-US"/>
        </w:rPr>
      </w:pPr>
      <w:r w:rsidRPr="00B67FC6">
        <w:rPr>
          <w:b w:val="0"/>
          <w:bCs w:val="0"/>
          <w:lang w:val="en-US"/>
        </w:rPr>
        <w:fldChar w:fldCharType="begin"/>
      </w:r>
      <w:r w:rsidRPr="00B67FC6">
        <w:rPr>
          <w:b w:val="0"/>
          <w:bCs w:val="0"/>
          <w:lang w:val="en-US"/>
        </w:rPr>
        <w:instrText xml:space="preserve"> TOC \n \t "Proposal,1" </w:instrText>
      </w:r>
      <w:r w:rsidRPr="00B67FC6">
        <w:rPr>
          <w:b w:val="0"/>
          <w:bCs w:val="0"/>
          <w:lang w:val="en-US"/>
        </w:rPr>
        <w:fldChar w:fldCharType="separate"/>
      </w:r>
      <w:r w:rsidR="00AC5544" w:rsidRPr="009F2A1F">
        <w:rPr>
          <w:noProof/>
          <w:lang w:val="en-US"/>
        </w:rPr>
        <w:t>Proposal 1:</w:t>
      </w:r>
      <w:r w:rsidR="00AC5544">
        <w:rPr>
          <w:rFonts w:asciiTheme="minorHAnsi" w:eastAsiaTheme="minorEastAsia" w:hAnsiTheme="minorHAnsi" w:cstheme="minorBidi"/>
          <w:b w:val="0"/>
          <w:bCs w:val="0"/>
          <w:noProof/>
          <w:sz w:val="24"/>
          <w:szCs w:val="24"/>
          <w:lang w:val="en-US"/>
        </w:rPr>
        <w:tab/>
      </w:r>
      <w:r w:rsidR="00AC5544" w:rsidRPr="009F2A1F">
        <w:rPr>
          <w:noProof/>
          <w:lang w:val="en-US"/>
        </w:rPr>
        <w:t>RAN4 assumes Alt. 1 (UE is assumed to have common beam management) for beam management for the bands that are part of supported band configuration in inter-band CA for 28 GHz + 28 GHz or 39 GHz + 39 GHz combinations.</w:t>
      </w:r>
    </w:p>
    <w:p w14:paraId="7E6C7B1B" w14:textId="77777777" w:rsidR="00AC5544" w:rsidRDefault="00AC5544">
      <w:pPr>
        <w:pStyle w:val="TOC1"/>
        <w:rPr>
          <w:rFonts w:asciiTheme="minorHAnsi" w:eastAsiaTheme="minorEastAsia" w:hAnsiTheme="minorHAnsi" w:cstheme="minorBidi"/>
          <w:b w:val="0"/>
          <w:bCs w:val="0"/>
          <w:noProof/>
          <w:sz w:val="24"/>
          <w:szCs w:val="24"/>
          <w:lang w:val="en-US"/>
        </w:rPr>
      </w:pPr>
      <w:r w:rsidRPr="009F2A1F">
        <w:rPr>
          <w:noProof/>
          <w:lang w:val="en-US"/>
        </w:rPr>
        <w:t>Proposal 2:</w:t>
      </w:r>
      <w:r>
        <w:rPr>
          <w:rFonts w:asciiTheme="minorHAnsi" w:eastAsiaTheme="minorEastAsia" w:hAnsiTheme="minorHAnsi" w:cstheme="minorBidi"/>
          <w:b w:val="0"/>
          <w:bCs w:val="0"/>
          <w:noProof/>
          <w:sz w:val="24"/>
          <w:szCs w:val="24"/>
          <w:lang w:val="en-US"/>
        </w:rPr>
        <w:tab/>
      </w:r>
      <w:r w:rsidRPr="009F2A1F">
        <w:rPr>
          <w:noProof/>
          <w:lang w:val="en-US"/>
        </w:rPr>
        <w:t>Equal PSD among 28+28 and 39+39 band groups can be confirmed for the conformance test configuration.</w:t>
      </w:r>
    </w:p>
    <w:p w14:paraId="22BBBAF0" w14:textId="77777777" w:rsidR="00AC5544" w:rsidRDefault="00AC5544">
      <w:pPr>
        <w:pStyle w:val="TOC1"/>
        <w:rPr>
          <w:rFonts w:asciiTheme="minorHAnsi" w:eastAsiaTheme="minorEastAsia" w:hAnsiTheme="minorHAnsi" w:cstheme="minorBidi"/>
          <w:b w:val="0"/>
          <w:bCs w:val="0"/>
          <w:noProof/>
          <w:sz w:val="24"/>
          <w:szCs w:val="24"/>
          <w:lang w:val="en-US"/>
        </w:rPr>
      </w:pPr>
      <w:r w:rsidRPr="009F2A1F">
        <w:rPr>
          <w:noProof/>
          <w:lang w:val="en-US"/>
        </w:rPr>
        <w:t>Proposal 3:</w:t>
      </w:r>
      <w:r>
        <w:rPr>
          <w:rFonts w:asciiTheme="minorHAnsi" w:eastAsiaTheme="minorEastAsia" w:hAnsiTheme="minorHAnsi" w:cstheme="minorBidi"/>
          <w:b w:val="0"/>
          <w:bCs w:val="0"/>
          <w:noProof/>
          <w:sz w:val="24"/>
          <w:szCs w:val="24"/>
          <w:lang w:val="en-US"/>
        </w:rPr>
        <w:tab/>
      </w:r>
      <w:r w:rsidRPr="009F2A1F">
        <w:rPr>
          <w:noProof/>
          <w:lang w:val="en-US"/>
        </w:rPr>
        <w:t>RAN4 to study further the conformance test configuration for the 28+39 CA scenario.</w:t>
      </w:r>
    </w:p>
    <w:p w14:paraId="16FF540B" w14:textId="77777777" w:rsidR="00AC5544" w:rsidRDefault="00AC5544">
      <w:pPr>
        <w:pStyle w:val="TOC1"/>
        <w:rPr>
          <w:rFonts w:asciiTheme="minorHAnsi" w:eastAsiaTheme="minorEastAsia" w:hAnsiTheme="minorHAnsi" w:cstheme="minorBidi"/>
          <w:b w:val="0"/>
          <w:bCs w:val="0"/>
          <w:noProof/>
          <w:sz w:val="24"/>
          <w:szCs w:val="24"/>
          <w:lang w:val="en-US"/>
        </w:rPr>
      </w:pPr>
      <w:r w:rsidRPr="009F2A1F">
        <w:rPr>
          <w:noProof/>
          <w:lang w:val="en-US"/>
        </w:rPr>
        <w:t>Proposal 4:</w:t>
      </w:r>
      <w:r>
        <w:rPr>
          <w:rFonts w:asciiTheme="minorHAnsi" w:eastAsiaTheme="minorEastAsia" w:hAnsiTheme="minorHAnsi" w:cstheme="minorBidi"/>
          <w:b w:val="0"/>
          <w:bCs w:val="0"/>
          <w:noProof/>
          <w:sz w:val="24"/>
          <w:szCs w:val="24"/>
          <w:lang w:val="en-US"/>
        </w:rPr>
        <w:tab/>
      </w:r>
      <w:r w:rsidRPr="009F2A1F">
        <w:rPr>
          <w:noProof/>
          <w:lang w:val="en-US"/>
        </w:rPr>
        <w:t>The common spherical coverage CDF is computed using the joint criterion of {EIS</w:t>
      </w:r>
      <w:r w:rsidRPr="009F2A1F">
        <w:rPr>
          <w:noProof/>
          <w:vertAlign w:val="subscript"/>
          <w:lang w:val="en-US"/>
        </w:rPr>
        <w:t>1</w:t>
      </w:r>
      <w:r w:rsidRPr="009F2A1F">
        <w:rPr>
          <w:noProof/>
          <w:lang w:val="en-US"/>
        </w:rPr>
        <w:t>≤s and EIS</w:t>
      </w:r>
      <w:r w:rsidRPr="009F2A1F">
        <w:rPr>
          <w:noProof/>
          <w:vertAlign w:val="subscript"/>
          <w:lang w:val="en-US"/>
        </w:rPr>
        <w:t>2</w:t>
      </w:r>
      <w:r w:rsidRPr="009F2A1F">
        <w:rPr>
          <w:noProof/>
          <w:lang w:val="en-US"/>
        </w:rPr>
        <w:t>≤s}, such that the resulting function of signal level s is equivalent to the diagonal of the joint empirical CDF P(EIS</w:t>
      </w:r>
      <w:r w:rsidRPr="009F2A1F">
        <w:rPr>
          <w:noProof/>
          <w:vertAlign w:val="subscript"/>
          <w:lang w:val="en-US"/>
        </w:rPr>
        <w:t>1</w:t>
      </w:r>
      <w:r w:rsidRPr="009F2A1F">
        <w:rPr>
          <w:noProof/>
          <w:lang w:val="en-US"/>
        </w:rPr>
        <w:t>≤s</w:t>
      </w:r>
      <w:r w:rsidRPr="009F2A1F">
        <w:rPr>
          <w:noProof/>
          <w:vertAlign w:val="subscript"/>
          <w:lang w:val="en-US"/>
        </w:rPr>
        <w:t>1</w:t>
      </w:r>
      <w:r w:rsidRPr="009F2A1F">
        <w:rPr>
          <w:noProof/>
          <w:lang w:val="en-US"/>
        </w:rPr>
        <w:t>,EIS</w:t>
      </w:r>
      <w:r w:rsidRPr="009F2A1F">
        <w:rPr>
          <w:noProof/>
          <w:vertAlign w:val="subscript"/>
          <w:lang w:val="en-US"/>
        </w:rPr>
        <w:t>2</w:t>
      </w:r>
      <w:r w:rsidRPr="009F2A1F">
        <w:rPr>
          <w:noProof/>
          <w:lang w:val="en-US"/>
        </w:rPr>
        <w:t>≤s</w:t>
      </w:r>
      <w:r w:rsidRPr="009F2A1F">
        <w:rPr>
          <w:noProof/>
          <w:vertAlign w:val="subscript"/>
          <w:lang w:val="en-US"/>
        </w:rPr>
        <w:t>2</w:t>
      </w:r>
      <w:r w:rsidRPr="009F2A1F">
        <w:rPr>
          <w:noProof/>
          <w:lang w:val="en-US"/>
        </w:rPr>
        <w:t>)</w:t>
      </w:r>
    </w:p>
    <w:p w14:paraId="5C47EF14" w14:textId="77777777" w:rsidR="00AC5544" w:rsidRDefault="00AC5544">
      <w:pPr>
        <w:pStyle w:val="TOC1"/>
        <w:rPr>
          <w:rFonts w:asciiTheme="minorHAnsi" w:eastAsiaTheme="minorEastAsia" w:hAnsiTheme="minorHAnsi" w:cstheme="minorBidi"/>
          <w:b w:val="0"/>
          <w:bCs w:val="0"/>
          <w:noProof/>
          <w:sz w:val="24"/>
          <w:szCs w:val="24"/>
          <w:lang w:val="en-US"/>
        </w:rPr>
      </w:pPr>
      <w:r w:rsidRPr="009F2A1F">
        <w:rPr>
          <w:noProof/>
          <w:lang w:val="en-US"/>
        </w:rPr>
        <w:t>Proposal 5:</w:t>
      </w:r>
      <w:r>
        <w:rPr>
          <w:rFonts w:asciiTheme="minorHAnsi" w:eastAsiaTheme="minorEastAsia" w:hAnsiTheme="minorHAnsi" w:cstheme="minorBidi"/>
          <w:b w:val="0"/>
          <w:bCs w:val="0"/>
          <w:noProof/>
          <w:sz w:val="24"/>
          <w:szCs w:val="24"/>
          <w:lang w:val="en-US"/>
        </w:rPr>
        <w:tab/>
      </w:r>
      <w:r w:rsidRPr="009F2A1F">
        <w:rPr>
          <w:noProof/>
          <w:lang w:val="en-US"/>
        </w:rPr>
        <w:t>RAN4 continues to study further the common CDF definition and parameters for CA within 28+28/39+39 band groups and does not pursue the common CDF for CA within 28+39 band groups.</w:t>
      </w:r>
    </w:p>
    <w:p w14:paraId="05CC6F0A" w14:textId="7B16219D" w:rsidR="005E69AE" w:rsidRPr="00B67FC6" w:rsidRDefault="0062595A" w:rsidP="001B4767">
      <w:pPr>
        <w:rPr>
          <w:lang w:val="en-US"/>
        </w:rPr>
      </w:pPr>
      <w:r w:rsidRPr="00B67FC6">
        <w:rPr>
          <w:b/>
          <w:bCs/>
          <w:lang w:val="en-US"/>
        </w:rPr>
        <w:fldChar w:fldCharType="end"/>
      </w:r>
    </w:p>
    <w:p w14:paraId="5D2DDC34" w14:textId="77777777" w:rsidR="005E69AE" w:rsidRPr="00B67FC6" w:rsidRDefault="005E69AE" w:rsidP="005E69AE">
      <w:pPr>
        <w:pStyle w:val="Heading1"/>
        <w:rPr>
          <w:lang w:val="en-US"/>
        </w:rPr>
      </w:pPr>
      <w:r w:rsidRPr="00B67FC6">
        <w:rPr>
          <w:lang w:val="en-US"/>
        </w:rPr>
        <w:t>4</w:t>
      </w:r>
      <w:r w:rsidRPr="00B67FC6">
        <w:rPr>
          <w:lang w:val="en-US"/>
        </w:rPr>
        <w:tab/>
        <w:t>References</w:t>
      </w:r>
    </w:p>
    <w:p w14:paraId="39889BB5" w14:textId="77777777" w:rsidR="00774153" w:rsidRPr="00B67FC6" w:rsidRDefault="00774153" w:rsidP="00774153">
      <w:pPr>
        <w:pStyle w:val="EX"/>
        <w:numPr>
          <w:ilvl w:val="0"/>
          <w:numId w:val="5"/>
        </w:numPr>
        <w:rPr>
          <w:lang w:val="en-US"/>
        </w:rPr>
      </w:pPr>
      <w:bookmarkStart w:id="39" w:name="_Ref16617333"/>
      <w:r w:rsidRPr="00B67FC6">
        <w:rPr>
          <w:lang w:val="en-US"/>
        </w:rPr>
        <w:t>RP-190761, “NR RF requirements for FR2,”</w:t>
      </w:r>
      <w:bookmarkEnd w:id="39"/>
      <w:r w:rsidRPr="00B67FC6">
        <w:rPr>
          <w:lang w:val="en-US"/>
        </w:rPr>
        <w:t xml:space="preserve"> Nokia, Nokia Shanghai Bell, 3GPP RAN #83, March 2019</w:t>
      </w:r>
    </w:p>
    <w:p w14:paraId="0F92EC18" w14:textId="384B6577" w:rsidR="00851EAD" w:rsidRDefault="0059483E" w:rsidP="005F42E3">
      <w:pPr>
        <w:pStyle w:val="EX"/>
        <w:rPr>
          <w:lang w:val="en-US"/>
        </w:rPr>
      </w:pPr>
      <w:bookmarkStart w:id="40" w:name="_Ref24079157"/>
      <w:bookmarkEnd w:id="0"/>
      <w:r w:rsidRPr="0059483E">
        <w:rPr>
          <w:lang w:val="en-US"/>
        </w:rPr>
        <w:t>R4-1913054</w:t>
      </w:r>
      <w:r w:rsidR="00C742F2" w:rsidRPr="00B67FC6">
        <w:rPr>
          <w:lang w:val="en-US"/>
        </w:rPr>
        <w:t>, “</w:t>
      </w:r>
      <w:r w:rsidRPr="0059483E">
        <w:rPr>
          <w:lang w:val="en-US"/>
        </w:rPr>
        <w:t>WF on FR2 Inter-band DL CA</w:t>
      </w:r>
      <w:r w:rsidR="00C742F2" w:rsidRPr="00B67FC6">
        <w:rPr>
          <w:lang w:val="en-US"/>
        </w:rPr>
        <w:t xml:space="preserve">,” </w:t>
      </w:r>
      <w:r w:rsidRPr="0059483E">
        <w:rPr>
          <w:lang w:val="en-US"/>
        </w:rPr>
        <w:t>Sony, Qualcomm Incorporated, Apple Inc., Huawei, HiSilicon</w:t>
      </w:r>
      <w:r w:rsidR="00C742F2" w:rsidRPr="00B67FC6">
        <w:rPr>
          <w:lang w:val="en-US"/>
        </w:rPr>
        <w:t>, 3GPP RAN4 #92bis, October 2019</w:t>
      </w:r>
      <w:bookmarkEnd w:id="40"/>
    </w:p>
    <w:p w14:paraId="43EAA5F7" w14:textId="1AA4BCC7" w:rsidR="007E1FDF" w:rsidRDefault="0059483E" w:rsidP="0059483E">
      <w:pPr>
        <w:pStyle w:val="EX"/>
        <w:rPr>
          <w:lang w:val="en-US"/>
        </w:rPr>
      </w:pPr>
      <w:bookmarkStart w:id="41" w:name="_Ref32329835"/>
      <w:r w:rsidRPr="0059483E">
        <w:rPr>
          <w:lang w:val="en-US"/>
        </w:rPr>
        <w:t>R4-1916024</w:t>
      </w:r>
      <w:r w:rsidR="00F01939">
        <w:rPr>
          <w:lang w:val="en-US"/>
        </w:rPr>
        <w:t>, “</w:t>
      </w:r>
      <w:r w:rsidRPr="0059483E">
        <w:rPr>
          <w:lang w:val="en-US"/>
        </w:rPr>
        <w:t>WF on FR2 inter-band DL CA</w:t>
      </w:r>
      <w:r>
        <w:rPr>
          <w:lang w:val="en-US"/>
        </w:rPr>
        <w:t>,</w:t>
      </w:r>
      <w:r w:rsidR="00F01939">
        <w:rPr>
          <w:lang w:val="en-US"/>
        </w:rPr>
        <w:t xml:space="preserve">” </w:t>
      </w:r>
      <w:r w:rsidRPr="0059483E">
        <w:rPr>
          <w:lang w:val="en-US"/>
        </w:rPr>
        <w:t>Nokia, Nokia Shanghai Bell</w:t>
      </w:r>
      <w:r w:rsidR="00F01939">
        <w:rPr>
          <w:lang w:val="en-US"/>
        </w:rPr>
        <w:t>, 3GPP RAN4 #93, November 2019</w:t>
      </w:r>
      <w:bookmarkEnd w:id="41"/>
    </w:p>
    <w:p w14:paraId="3CEAE9BF" w14:textId="0943D984" w:rsidR="00A1199C" w:rsidRPr="0059483E" w:rsidRDefault="00A1199C" w:rsidP="0059483E">
      <w:pPr>
        <w:pStyle w:val="EX"/>
        <w:rPr>
          <w:lang w:val="en-US"/>
        </w:rPr>
      </w:pPr>
      <w:bookmarkStart w:id="42" w:name="_Ref32357962"/>
      <w:r w:rsidRPr="00A1199C">
        <w:rPr>
          <w:lang w:val="en-US"/>
        </w:rPr>
        <w:t>R4-1913540</w:t>
      </w:r>
      <w:r>
        <w:rPr>
          <w:lang w:val="en-US"/>
        </w:rPr>
        <w:t>, “</w:t>
      </w:r>
      <w:r w:rsidRPr="00A1199C">
        <w:rPr>
          <w:lang w:val="en-US"/>
        </w:rPr>
        <w:t>FR2 DL inter-band CA architecture considerations</w:t>
      </w:r>
      <w:r>
        <w:rPr>
          <w:lang w:val="en-US"/>
        </w:rPr>
        <w:t>,” Apple Inc., 3GPP RAN4 #93, November 2019</w:t>
      </w:r>
      <w:bookmarkEnd w:id="42"/>
    </w:p>
    <w:p w14:paraId="6322CC7D" w14:textId="77777777" w:rsidR="00103C69" w:rsidRPr="00B67FC6" w:rsidRDefault="00103C69">
      <w:pPr>
        <w:pStyle w:val="EX"/>
        <w:numPr>
          <w:ilvl w:val="0"/>
          <w:numId w:val="0"/>
        </w:numPr>
        <w:rPr>
          <w:lang w:val="en-US"/>
        </w:rPr>
      </w:pPr>
    </w:p>
    <w:sectPr w:rsidR="00103C69" w:rsidRPr="00B67FC6" w:rsidSect="00114E2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F60DC" w14:textId="77777777" w:rsidR="003F6907" w:rsidRDefault="003F6907">
      <w:r>
        <w:separator/>
      </w:r>
    </w:p>
  </w:endnote>
  <w:endnote w:type="continuationSeparator" w:id="0">
    <w:p w14:paraId="66F26B2B" w14:textId="77777777" w:rsidR="003F6907" w:rsidRDefault="003F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0B6EE" w14:textId="77777777" w:rsidR="003F6907" w:rsidRDefault="003F6907">
      <w:r>
        <w:separator/>
      </w:r>
    </w:p>
  </w:footnote>
  <w:footnote w:type="continuationSeparator" w:id="0">
    <w:p w14:paraId="3A160F92" w14:textId="77777777" w:rsidR="003F6907" w:rsidRDefault="003F6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E3"/>
    <w:rsid w:val="00010C08"/>
    <w:rsid w:val="00033354"/>
    <w:rsid w:val="00033397"/>
    <w:rsid w:val="00040095"/>
    <w:rsid w:val="00051834"/>
    <w:rsid w:val="00054A22"/>
    <w:rsid w:val="00060CC9"/>
    <w:rsid w:val="00061C04"/>
    <w:rsid w:val="00062023"/>
    <w:rsid w:val="000655A6"/>
    <w:rsid w:val="000660CF"/>
    <w:rsid w:val="00080512"/>
    <w:rsid w:val="000A0284"/>
    <w:rsid w:val="000A365D"/>
    <w:rsid w:val="000A68F3"/>
    <w:rsid w:val="000B4706"/>
    <w:rsid w:val="000C47C3"/>
    <w:rsid w:val="000D58AB"/>
    <w:rsid w:val="000D76CE"/>
    <w:rsid w:val="00103C69"/>
    <w:rsid w:val="00104BC6"/>
    <w:rsid w:val="001052AE"/>
    <w:rsid w:val="001133A5"/>
    <w:rsid w:val="0011390E"/>
    <w:rsid w:val="00114E2C"/>
    <w:rsid w:val="0012301B"/>
    <w:rsid w:val="00133525"/>
    <w:rsid w:val="00141628"/>
    <w:rsid w:val="001445D7"/>
    <w:rsid w:val="00166C80"/>
    <w:rsid w:val="00167B4B"/>
    <w:rsid w:val="00172077"/>
    <w:rsid w:val="00172B21"/>
    <w:rsid w:val="00174D15"/>
    <w:rsid w:val="00183617"/>
    <w:rsid w:val="001A4C42"/>
    <w:rsid w:val="001B4767"/>
    <w:rsid w:val="001C21C3"/>
    <w:rsid w:val="001D02C2"/>
    <w:rsid w:val="001E069F"/>
    <w:rsid w:val="001F0C1D"/>
    <w:rsid w:val="001F0F72"/>
    <w:rsid w:val="001F1132"/>
    <w:rsid w:val="001F168B"/>
    <w:rsid w:val="00221868"/>
    <w:rsid w:val="00223B85"/>
    <w:rsid w:val="00224672"/>
    <w:rsid w:val="00232817"/>
    <w:rsid w:val="002347A2"/>
    <w:rsid w:val="00245835"/>
    <w:rsid w:val="00247926"/>
    <w:rsid w:val="00247BBA"/>
    <w:rsid w:val="0025184C"/>
    <w:rsid w:val="00255AE9"/>
    <w:rsid w:val="002675F0"/>
    <w:rsid w:val="0027462C"/>
    <w:rsid w:val="00274694"/>
    <w:rsid w:val="00276EE4"/>
    <w:rsid w:val="002866FE"/>
    <w:rsid w:val="00290BFF"/>
    <w:rsid w:val="002A6938"/>
    <w:rsid w:val="002B6339"/>
    <w:rsid w:val="002C04C0"/>
    <w:rsid w:val="002C0B6A"/>
    <w:rsid w:val="002E00EE"/>
    <w:rsid w:val="002E68C5"/>
    <w:rsid w:val="002F14F1"/>
    <w:rsid w:val="002F5BB3"/>
    <w:rsid w:val="002F6EC7"/>
    <w:rsid w:val="003172DC"/>
    <w:rsid w:val="00330763"/>
    <w:rsid w:val="00337522"/>
    <w:rsid w:val="0034052F"/>
    <w:rsid w:val="00342A3F"/>
    <w:rsid w:val="00352736"/>
    <w:rsid w:val="0035462D"/>
    <w:rsid w:val="003549DF"/>
    <w:rsid w:val="00362052"/>
    <w:rsid w:val="00362E0C"/>
    <w:rsid w:val="00374F36"/>
    <w:rsid w:val="003765B8"/>
    <w:rsid w:val="003811A1"/>
    <w:rsid w:val="003A0483"/>
    <w:rsid w:val="003C3971"/>
    <w:rsid w:val="003C3BBC"/>
    <w:rsid w:val="003D458C"/>
    <w:rsid w:val="003D6AF1"/>
    <w:rsid w:val="003E62EA"/>
    <w:rsid w:val="003E7753"/>
    <w:rsid w:val="003F6907"/>
    <w:rsid w:val="00400DB6"/>
    <w:rsid w:val="00421408"/>
    <w:rsid w:val="00423334"/>
    <w:rsid w:val="004345EC"/>
    <w:rsid w:val="00436666"/>
    <w:rsid w:val="00443A6A"/>
    <w:rsid w:val="00447588"/>
    <w:rsid w:val="00447A0B"/>
    <w:rsid w:val="00452D32"/>
    <w:rsid w:val="00464AA2"/>
    <w:rsid w:val="00465AB5"/>
    <w:rsid w:val="004814C2"/>
    <w:rsid w:val="004826A9"/>
    <w:rsid w:val="004A75AB"/>
    <w:rsid w:val="004C1601"/>
    <w:rsid w:val="004C4EE2"/>
    <w:rsid w:val="004C613F"/>
    <w:rsid w:val="004D3578"/>
    <w:rsid w:val="004E213A"/>
    <w:rsid w:val="004F0988"/>
    <w:rsid w:val="004F3340"/>
    <w:rsid w:val="004F3E3D"/>
    <w:rsid w:val="005027A3"/>
    <w:rsid w:val="0053388B"/>
    <w:rsid w:val="00535773"/>
    <w:rsid w:val="00543C32"/>
    <w:rsid w:val="00543E6C"/>
    <w:rsid w:val="005579A3"/>
    <w:rsid w:val="00565087"/>
    <w:rsid w:val="00572E14"/>
    <w:rsid w:val="005738D7"/>
    <w:rsid w:val="00575C74"/>
    <w:rsid w:val="00575F62"/>
    <w:rsid w:val="00582A3C"/>
    <w:rsid w:val="0059483E"/>
    <w:rsid w:val="00594C1B"/>
    <w:rsid w:val="005973BE"/>
    <w:rsid w:val="005A5986"/>
    <w:rsid w:val="005C78F4"/>
    <w:rsid w:val="005D2E01"/>
    <w:rsid w:val="005D7526"/>
    <w:rsid w:val="005E4138"/>
    <w:rsid w:val="005E69AE"/>
    <w:rsid w:val="005F42E3"/>
    <w:rsid w:val="00602AEA"/>
    <w:rsid w:val="00607E3C"/>
    <w:rsid w:val="00614FDF"/>
    <w:rsid w:val="00616B6D"/>
    <w:rsid w:val="006246A7"/>
    <w:rsid w:val="0062595A"/>
    <w:rsid w:val="0063543D"/>
    <w:rsid w:val="00640B80"/>
    <w:rsid w:val="00643744"/>
    <w:rsid w:val="00647114"/>
    <w:rsid w:val="00654196"/>
    <w:rsid w:val="0068172C"/>
    <w:rsid w:val="006945F0"/>
    <w:rsid w:val="006A323F"/>
    <w:rsid w:val="006B30D0"/>
    <w:rsid w:val="006B444A"/>
    <w:rsid w:val="006C3B9C"/>
    <w:rsid w:val="006C3D95"/>
    <w:rsid w:val="006D0763"/>
    <w:rsid w:val="006D2D7D"/>
    <w:rsid w:val="006E5C86"/>
    <w:rsid w:val="00703CAB"/>
    <w:rsid w:val="00712FC4"/>
    <w:rsid w:val="00713C44"/>
    <w:rsid w:val="007169C2"/>
    <w:rsid w:val="00717F7A"/>
    <w:rsid w:val="0072603E"/>
    <w:rsid w:val="00734A5B"/>
    <w:rsid w:val="0074026F"/>
    <w:rsid w:val="007429F6"/>
    <w:rsid w:val="00744E76"/>
    <w:rsid w:val="00752198"/>
    <w:rsid w:val="00753881"/>
    <w:rsid w:val="0076797D"/>
    <w:rsid w:val="00774153"/>
    <w:rsid w:val="00774DA4"/>
    <w:rsid w:val="00777F7E"/>
    <w:rsid w:val="00781F0F"/>
    <w:rsid w:val="0078418F"/>
    <w:rsid w:val="007A78C2"/>
    <w:rsid w:val="007B5F2D"/>
    <w:rsid w:val="007B600E"/>
    <w:rsid w:val="007B670C"/>
    <w:rsid w:val="007D48E9"/>
    <w:rsid w:val="007D4A21"/>
    <w:rsid w:val="007E1FDF"/>
    <w:rsid w:val="007E22B1"/>
    <w:rsid w:val="007E2512"/>
    <w:rsid w:val="007E4B54"/>
    <w:rsid w:val="007F0F4A"/>
    <w:rsid w:val="008028A4"/>
    <w:rsid w:val="00820B25"/>
    <w:rsid w:val="00830747"/>
    <w:rsid w:val="00833B72"/>
    <w:rsid w:val="00851EAD"/>
    <w:rsid w:val="008624E8"/>
    <w:rsid w:val="00864F5A"/>
    <w:rsid w:val="008653C7"/>
    <w:rsid w:val="00866F8F"/>
    <w:rsid w:val="008768CA"/>
    <w:rsid w:val="00876D37"/>
    <w:rsid w:val="00876E4D"/>
    <w:rsid w:val="008825FE"/>
    <w:rsid w:val="00884344"/>
    <w:rsid w:val="008C384C"/>
    <w:rsid w:val="008E7986"/>
    <w:rsid w:val="008F61EB"/>
    <w:rsid w:val="0090166D"/>
    <w:rsid w:val="0090271F"/>
    <w:rsid w:val="00902E23"/>
    <w:rsid w:val="009114D7"/>
    <w:rsid w:val="0091348E"/>
    <w:rsid w:val="009165E6"/>
    <w:rsid w:val="00917CCB"/>
    <w:rsid w:val="00942EC2"/>
    <w:rsid w:val="00953D37"/>
    <w:rsid w:val="00977951"/>
    <w:rsid w:val="00983EA5"/>
    <w:rsid w:val="009A6180"/>
    <w:rsid w:val="009F37B7"/>
    <w:rsid w:val="009F5E43"/>
    <w:rsid w:val="00A10F02"/>
    <w:rsid w:val="00A1199C"/>
    <w:rsid w:val="00A13331"/>
    <w:rsid w:val="00A164B4"/>
    <w:rsid w:val="00A201FB"/>
    <w:rsid w:val="00A20351"/>
    <w:rsid w:val="00A218EA"/>
    <w:rsid w:val="00A26956"/>
    <w:rsid w:val="00A51462"/>
    <w:rsid w:val="00A53724"/>
    <w:rsid w:val="00A61773"/>
    <w:rsid w:val="00A73129"/>
    <w:rsid w:val="00A81F5A"/>
    <w:rsid w:val="00A82346"/>
    <w:rsid w:val="00A92BA1"/>
    <w:rsid w:val="00AA37A7"/>
    <w:rsid w:val="00AB37E2"/>
    <w:rsid w:val="00AC5544"/>
    <w:rsid w:val="00AC6BC6"/>
    <w:rsid w:val="00AC7371"/>
    <w:rsid w:val="00AD3D1D"/>
    <w:rsid w:val="00AE3797"/>
    <w:rsid w:val="00AF4B6D"/>
    <w:rsid w:val="00B009DB"/>
    <w:rsid w:val="00B02A63"/>
    <w:rsid w:val="00B04359"/>
    <w:rsid w:val="00B070F5"/>
    <w:rsid w:val="00B15449"/>
    <w:rsid w:val="00B21131"/>
    <w:rsid w:val="00B53321"/>
    <w:rsid w:val="00B65781"/>
    <w:rsid w:val="00B66028"/>
    <w:rsid w:val="00B67FC6"/>
    <w:rsid w:val="00B93086"/>
    <w:rsid w:val="00B97B84"/>
    <w:rsid w:val="00BA19ED"/>
    <w:rsid w:val="00BA300B"/>
    <w:rsid w:val="00BA4B8D"/>
    <w:rsid w:val="00BC0F7D"/>
    <w:rsid w:val="00BC6E8D"/>
    <w:rsid w:val="00BC7FA1"/>
    <w:rsid w:val="00BD0602"/>
    <w:rsid w:val="00BE3255"/>
    <w:rsid w:val="00BE41F7"/>
    <w:rsid w:val="00BF128E"/>
    <w:rsid w:val="00BF6A6D"/>
    <w:rsid w:val="00C0300E"/>
    <w:rsid w:val="00C1496A"/>
    <w:rsid w:val="00C2086E"/>
    <w:rsid w:val="00C2569A"/>
    <w:rsid w:val="00C33079"/>
    <w:rsid w:val="00C37672"/>
    <w:rsid w:val="00C45231"/>
    <w:rsid w:val="00C55311"/>
    <w:rsid w:val="00C72833"/>
    <w:rsid w:val="00C742F2"/>
    <w:rsid w:val="00C77EA5"/>
    <w:rsid w:val="00C80F1D"/>
    <w:rsid w:val="00C85200"/>
    <w:rsid w:val="00C93F40"/>
    <w:rsid w:val="00C95DDD"/>
    <w:rsid w:val="00C967AB"/>
    <w:rsid w:val="00CA3D0C"/>
    <w:rsid w:val="00CC54CB"/>
    <w:rsid w:val="00CC66D7"/>
    <w:rsid w:val="00CD356D"/>
    <w:rsid w:val="00CD47D7"/>
    <w:rsid w:val="00CD5FA3"/>
    <w:rsid w:val="00CE2522"/>
    <w:rsid w:val="00CE313E"/>
    <w:rsid w:val="00CF20E3"/>
    <w:rsid w:val="00CF42E1"/>
    <w:rsid w:val="00D20493"/>
    <w:rsid w:val="00D258C6"/>
    <w:rsid w:val="00D309CC"/>
    <w:rsid w:val="00D32F03"/>
    <w:rsid w:val="00D46431"/>
    <w:rsid w:val="00D56A52"/>
    <w:rsid w:val="00D57972"/>
    <w:rsid w:val="00D625A5"/>
    <w:rsid w:val="00D675A9"/>
    <w:rsid w:val="00D738D6"/>
    <w:rsid w:val="00D75169"/>
    <w:rsid w:val="00D75373"/>
    <w:rsid w:val="00D755EB"/>
    <w:rsid w:val="00D87C1E"/>
    <w:rsid w:val="00D87E00"/>
    <w:rsid w:val="00D9134D"/>
    <w:rsid w:val="00DA7A03"/>
    <w:rsid w:val="00DA7AB5"/>
    <w:rsid w:val="00DB1818"/>
    <w:rsid w:val="00DC309B"/>
    <w:rsid w:val="00DC4DA2"/>
    <w:rsid w:val="00DC5A8F"/>
    <w:rsid w:val="00DD4C17"/>
    <w:rsid w:val="00DF2B1F"/>
    <w:rsid w:val="00DF6189"/>
    <w:rsid w:val="00DF62CD"/>
    <w:rsid w:val="00E024C7"/>
    <w:rsid w:val="00E16509"/>
    <w:rsid w:val="00E22C63"/>
    <w:rsid w:val="00E338FC"/>
    <w:rsid w:val="00E44582"/>
    <w:rsid w:val="00E46A0A"/>
    <w:rsid w:val="00E52814"/>
    <w:rsid w:val="00E60B57"/>
    <w:rsid w:val="00E72324"/>
    <w:rsid w:val="00E72ABE"/>
    <w:rsid w:val="00E77645"/>
    <w:rsid w:val="00E8554D"/>
    <w:rsid w:val="00E95242"/>
    <w:rsid w:val="00E963AF"/>
    <w:rsid w:val="00EB3AE6"/>
    <w:rsid w:val="00EC4A25"/>
    <w:rsid w:val="00ED57CE"/>
    <w:rsid w:val="00ED7067"/>
    <w:rsid w:val="00ED70BD"/>
    <w:rsid w:val="00EE005C"/>
    <w:rsid w:val="00EE5AA7"/>
    <w:rsid w:val="00EE696A"/>
    <w:rsid w:val="00EF0368"/>
    <w:rsid w:val="00EF084E"/>
    <w:rsid w:val="00F01939"/>
    <w:rsid w:val="00F025A2"/>
    <w:rsid w:val="00F04712"/>
    <w:rsid w:val="00F075AF"/>
    <w:rsid w:val="00F21311"/>
    <w:rsid w:val="00F22EC7"/>
    <w:rsid w:val="00F25F1E"/>
    <w:rsid w:val="00F3058B"/>
    <w:rsid w:val="00F325C8"/>
    <w:rsid w:val="00F36FEB"/>
    <w:rsid w:val="00F37886"/>
    <w:rsid w:val="00F412EA"/>
    <w:rsid w:val="00F62AEB"/>
    <w:rsid w:val="00F653B8"/>
    <w:rsid w:val="00F703CE"/>
    <w:rsid w:val="00F70647"/>
    <w:rsid w:val="00F76B98"/>
    <w:rsid w:val="00FA1266"/>
    <w:rsid w:val="00FA47C1"/>
    <w:rsid w:val="00FB2EC6"/>
    <w:rsid w:val="00FC1192"/>
    <w:rsid w:val="00FC71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paragraph" w:styleId="Caption">
    <w:name w:val="caption"/>
    <w:basedOn w:val="Normal"/>
    <w:next w:val="Normal"/>
    <w:unhideWhenUsed/>
    <w:qFormat/>
    <w:rsid w:val="00F075A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12231">
      <w:bodyDiv w:val="1"/>
      <w:marLeft w:val="0"/>
      <w:marRight w:val="0"/>
      <w:marTop w:val="0"/>
      <w:marBottom w:val="0"/>
      <w:divBdr>
        <w:top w:val="none" w:sz="0" w:space="0" w:color="auto"/>
        <w:left w:val="none" w:sz="0" w:space="0" w:color="auto"/>
        <w:bottom w:val="none" w:sz="0" w:space="0" w:color="auto"/>
        <w:right w:val="none" w:sz="0" w:space="0" w:color="auto"/>
      </w:divBdr>
    </w:div>
    <w:div w:id="207300600">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90965975">
      <w:bodyDiv w:val="1"/>
      <w:marLeft w:val="0"/>
      <w:marRight w:val="0"/>
      <w:marTop w:val="0"/>
      <w:marBottom w:val="0"/>
      <w:divBdr>
        <w:top w:val="none" w:sz="0" w:space="0" w:color="auto"/>
        <w:left w:val="none" w:sz="0" w:space="0" w:color="auto"/>
        <w:bottom w:val="none" w:sz="0" w:space="0" w:color="auto"/>
        <w:right w:val="none" w:sz="0" w:space="0" w:color="auto"/>
      </w:divBdr>
    </w:div>
    <w:div w:id="6019559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87565559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33765-DC3E-054A-B04E-F637B99F5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132</TotalTime>
  <Pages>5</Pages>
  <Words>1966</Words>
  <Characters>11212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71</cp:revision>
  <cp:lastPrinted>2019-02-25T14:05:00Z</cp:lastPrinted>
  <dcterms:created xsi:type="dcterms:W3CDTF">2020-02-12T00:05:00Z</dcterms:created>
  <dcterms:modified xsi:type="dcterms:W3CDTF">2020-02-14T13:46:00Z</dcterms:modified>
  <cp:category/>
</cp:coreProperties>
</file>